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adjustRightInd w:val="0"/>
        <w:snapToGrid w:val="0"/>
        <w:jc w:val="center"/>
        <w:outlineLvl w:val="0"/>
        <w:rPr>
          <w:rFonts w:hint="default" w:ascii="Times New Roman" w:hAnsi="Times New Roman" w:eastAsia="方正小标宋_GBK" w:cs="Times New Roman"/>
          <w:bCs/>
          <w:color w:val="auto"/>
          <w:sz w:val="72"/>
          <w:szCs w:val="72"/>
          <w:highlight w:val="none"/>
        </w:rPr>
      </w:pPr>
      <w:r>
        <w:rPr>
          <w:rFonts w:hint="default" w:ascii="Times New Roman" w:hAnsi="Times New Roman" w:eastAsia="方正小标宋_GBK" w:cs="Times New Roman"/>
          <w:bCs/>
          <w:color w:val="auto"/>
          <w:sz w:val="72"/>
          <w:szCs w:val="72"/>
          <w:highlight w:val="none"/>
        </w:rPr>
        <w:t>建设项目环境影响报告表</w:t>
      </w:r>
    </w:p>
    <w:p>
      <w:pPr>
        <w:adjustRightInd w:val="0"/>
        <w:snapToGrid w:val="0"/>
        <w:spacing w:before="192" w:beforeLines="80"/>
        <w:jc w:val="center"/>
        <w:outlineLvl w:val="0"/>
        <w:rPr>
          <w:rFonts w:hint="default" w:ascii="Times New Roman" w:hAnsi="Times New Roman" w:eastAsia="楷体_GB2312" w:cs="Times New Roman"/>
          <w:bCs/>
          <w:color w:val="auto"/>
          <w:sz w:val="48"/>
          <w:szCs w:val="48"/>
          <w:highlight w:val="none"/>
        </w:rPr>
      </w:pPr>
      <w:r>
        <w:rPr>
          <w:rFonts w:hint="default" w:ascii="Times New Roman" w:hAnsi="Times New Roman" w:eastAsia="楷体_GB2312" w:cs="Times New Roman"/>
          <w:bCs/>
          <w:color w:val="auto"/>
          <w:sz w:val="48"/>
          <w:szCs w:val="48"/>
          <w:highlight w:val="none"/>
        </w:rPr>
        <w:t>（污染影响类）</w:t>
      </w: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ind w:firstLine="1040"/>
        <w:jc w:val="left"/>
        <w:rPr>
          <w:rFonts w:hint="default" w:ascii="Times New Roman" w:hAnsi="Times New Roman" w:eastAsia="仿宋" w:cs="Times New Roman"/>
          <w:color w:val="auto"/>
          <w:sz w:val="44"/>
          <w:szCs w:val="44"/>
          <w:highlight w:val="none"/>
        </w:rPr>
      </w:pPr>
    </w:p>
    <w:p>
      <w:pPr>
        <w:rPr>
          <w:rFonts w:hint="default" w:ascii="Times New Roman" w:hAnsi="Times New Roman" w:eastAsia="仿宋" w:cs="Times New Roman"/>
          <w:color w:val="auto"/>
          <w:sz w:val="44"/>
          <w:szCs w:val="44"/>
          <w:highlight w:val="none"/>
        </w:rPr>
      </w:pPr>
    </w:p>
    <w:p>
      <w:pPr>
        <w:rPr>
          <w:rFonts w:hint="default" w:ascii="Times New Roman" w:hAnsi="Times New Roman" w:eastAsia="仿宋" w:cs="Times New Roman"/>
          <w:color w:val="auto"/>
          <w:sz w:val="44"/>
          <w:szCs w:val="44"/>
          <w:highlight w:val="none"/>
        </w:rPr>
      </w:pPr>
    </w:p>
    <w:p>
      <w:pPr>
        <w:rPr>
          <w:rFonts w:hint="default" w:ascii="Times New Roman" w:hAnsi="Times New Roman" w:eastAsia="仿宋" w:cs="Times New Roman"/>
          <w:color w:val="auto"/>
          <w:sz w:val="44"/>
          <w:szCs w:val="44"/>
          <w:highlight w:val="none"/>
        </w:rPr>
      </w:pPr>
    </w:p>
    <w:p>
      <w:pPr>
        <w:ind w:firstLine="1040"/>
        <w:jc w:val="left"/>
        <w:rPr>
          <w:rFonts w:hint="default" w:ascii="Times New Roman" w:hAnsi="Times New Roman" w:eastAsia="仿宋" w:cs="Times New Roman"/>
          <w:color w:val="auto"/>
          <w:sz w:val="44"/>
          <w:szCs w:val="44"/>
          <w:highlight w:val="none"/>
        </w:rPr>
      </w:pPr>
    </w:p>
    <w:p>
      <w:pPr>
        <w:adjustRightInd w:val="0"/>
        <w:snapToGrid w:val="0"/>
        <w:spacing w:line="288" w:lineRule="auto"/>
        <w:ind w:left="420" w:firstLine="420"/>
        <w:jc w:val="left"/>
        <w:outlineLvl w:val="0"/>
        <w:rPr>
          <w:rFonts w:hint="default" w:ascii="Times New Roman" w:hAnsi="Times New Roman" w:eastAsia="仿宋_GB2312" w:cs="Times New Roman"/>
          <w:color w:val="auto"/>
          <w:sz w:val="36"/>
          <w:szCs w:val="36"/>
          <w:highlight w:val="none"/>
          <w:u w:val="single"/>
        </w:rPr>
      </w:pPr>
      <w:r>
        <w:rPr>
          <w:rFonts w:hint="default" w:ascii="Times New Roman" w:hAnsi="Times New Roman" w:eastAsia="仿宋_GB2312" w:cs="Times New Roman"/>
          <w:color w:val="auto"/>
          <w:sz w:val="36"/>
          <w:szCs w:val="36"/>
          <w:highlight w:val="none"/>
        </w:rPr>
        <w:t>项目名称：</w:t>
      </w:r>
      <w:r>
        <w:rPr>
          <w:rFonts w:hint="default" w:ascii="Times New Roman" w:hAnsi="Times New Roman" w:eastAsia="仿宋_GB2312" w:cs="Times New Roman"/>
          <w:color w:val="auto"/>
          <w:sz w:val="36"/>
          <w:szCs w:val="36"/>
          <w:highlight w:val="none"/>
          <w:u w:val="single"/>
          <w:lang w:val="en-US" w:eastAsia="zh-CN"/>
        </w:rPr>
        <w:t>福建瑞峰革业有限公司DMF废液回收处理技改</w:t>
      </w:r>
      <w:r>
        <w:rPr>
          <w:rFonts w:hint="default" w:ascii="Times New Roman" w:hAnsi="Times New Roman" w:eastAsia="仿宋_GB2312" w:cs="Times New Roman"/>
          <w:color w:val="auto"/>
          <w:sz w:val="36"/>
          <w:szCs w:val="36"/>
          <w:highlight w:val="none"/>
          <w:u w:val="single"/>
        </w:rPr>
        <w:t xml:space="preserve">项目   </w:t>
      </w:r>
    </w:p>
    <w:p>
      <w:pPr>
        <w:adjustRightInd w:val="0"/>
        <w:snapToGrid w:val="0"/>
        <w:spacing w:line="288" w:lineRule="auto"/>
        <w:ind w:left="420" w:firstLine="420"/>
        <w:jc w:val="left"/>
        <w:outlineLvl w:val="0"/>
        <w:rPr>
          <w:rFonts w:hint="default" w:ascii="Times New Roman" w:hAnsi="Times New Roman" w:eastAsia="仿宋_GB2312" w:cs="Times New Roman"/>
          <w:color w:val="auto"/>
          <w:sz w:val="36"/>
          <w:szCs w:val="36"/>
          <w:highlight w:val="none"/>
          <w:u w:val="single"/>
        </w:rPr>
      </w:pPr>
      <w:r>
        <w:rPr>
          <w:rFonts w:hint="default" w:ascii="Times New Roman" w:hAnsi="Times New Roman" w:eastAsia="仿宋_GB2312" w:cs="Times New Roman"/>
          <w:color w:val="auto"/>
          <w:sz w:val="36"/>
          <w:szCs w:val="36"/>
          <w:highlight w:val="none"/>
        </w:rPr>
        <w:t>建设单位（盖章）：</w:t>
      </w:r>
      <w:r>
        <w:rPr>
          <w:rFonts w:hint="default" w:ascii="Times New Roman" w:hAnsi="Times New Roman" w:eastAsia="仿宋_GB2312" w:cs="Times New Roman"/>
          <w:color w:val="auto"/>
          <w:sz w:val="36"/>
          <w:szCs w:val="36"/>
          <w:highlight w:val="none"/>
          <w:u w:val="single"/>
        </w:rPr>
        <w:t>福建</w:t>
      </w:r>
      <w:r>
        <w:rPr>
          <w:rFonts w:hint="default" w:ascii="Times New Roman" w:hAnsi="Times New Roman" w:eastAsia="仿宋_GB2312" w:cs="Times New Roman"/>
          <w:color w:val="auto"/>
          <w:sz w:val="36"/>
          <w:szCs w:val="36"/>
          <w:highlight w:val="none"/>
          <w:u w:val="single"/>
          <w:lang w:val="en-US" w:eastAsia="zh-CN"/>
        </w:rPr>
        <w:t>瑞峰革业</w:t>
      </w:r>
      <w:r>
        <w:rPr>
          <w:rFonts w:hint="default" w:ascii="Times New Roman" w:hAnsi="Times New Roman" w:eastAsia="仿宋_GB2312" w:cs="Times New Roman"/>
          <w:color w:val="auto"/>
          <w:sz w:val="36"/>
          <w:szCs w:val="36"/>
          <w:highlight w:val="none"/>
          <w:u w:val="single"/>
        </w:rPr>
        <w:t xml:space="preserve">有限公司       </w:t>
      </w:r>
    </w:p>
    <w:p>
      <w:pPr>
        <w:adjustRightInd w:val="0"/>
        <w:snapToGrid w:val="0"/>
        <w:spacing w:line="288" w:lineRule="auto"/>
        <w:ind w:left="420" w:firstLine="420"/>
        <w:jc w:val="left"/>
        <w:outlineLvl w:val="0"/>
        <w:rPr>
          <w:rFonts w:hint="default" w:ascii="Times New Roman" w:hAnsi="Times New Roman" w:eastAsia="仿宋_GB2312" w:cs="Times New Roman"/>
          <w:color w:val="auto"/>
          <w:sz w:val="36"/>
          <w:szCs w:val="36"/>
          <w:highlight w:val="none"/>
          <w:u w:val="single"/>
        </w:rPr>
      </w:pPr>
      <w:r>
        <w:rPr>
          <w:rFonts w:hint="default" w:ascii="Times New Roman" w:hAnsi="Times New Roman" w:eastAsia="仿宋_GB2312" w:cs="Times New Roman"/>
          <w:color w:val="auto"/>
          <w:sz w:val="36"/>
          <w:szCs w:val="36"/>
          <w:highlight w:val="none"/>
        </w:rPr>
        <w:t>编制日期：</w:t>
      </w:r>
      <w:r>
        <w:rPr>
          <w:rFonts w:hint="default" w:ascii="Times New Roman" w:hAnsi="Times New Roman" w:eastAsia="仿宋_GB2312" w:cs="Times New Roman"/>
          <w:color w:val="auto"/>
          <w:sz w:val="36"/>
          <w:szCs w:val="36"/>
          <w:highlight w:val="none"/>
          <w:u w:val="single"/>
        </w:rPr>
        <w:t xml:space="preserve">        202</w:t>
      </w:r>
      <w:r>
        <w:rPr>
          <w:rFonts w:hint="default" w:ascii="Times New Roman" w:hAnsi="Times New Roman" w:eastAsia="仿宋_GB2312" w:cs="Times New Roman"/>
          <w:color w:val="auto"/>
          <w:sz w:val="36"/>
          <w:szCs w:val="36"/>
          <w:highlight w:val="none"/>
          <w:u w:val="single"/>
          <w:lang w:val="en-US" w:eastAsia="zh-CN"/>
        </w:rPr>
        <w:t>2</w:t>
      </w:r>
      <w:r>
        <w:rPr>
          <w:rFonts w:hint="default" w:ascii="Times New Roman" w:hAnsi="Times New Roman" w:eastAsia="仿宋_GB2312" w:cs="Times New Roman"/>
          <w:color w:val="auto"/>
          <w:sz w:val="36"/>
          <w:szCs w:val="36"/>
          <w:highlight w:val="none"/>
          <w:u w:val="single"/>
        </w:rPr>
        <w:t>年</w:t>
      </w:r>
      <w:r>
        <w:rPr>
          <w:rFonts w:hint="eastAsia" w:eastAsia="仿宋_GB2312" w:cs="Times New Roman"/>
          <w:color w:val="auto"/>
          <w:sz w:val="36"/>
          <w:szCs w:val="36"/>
          <w:highlight w:val="none"/>
          <w:u w:val="single"/>
          <w:lang w:val="en-US" w:eastAsia="zh-CN"/>
        </w:rPr>
        <w:t>9</w:t>
      </w:r>
      <w:r>
        <w:rPr>
          <w:rFonts w:hint="default" w:ascii="Times New Roman" w:hAnsi="Times New Roman" w:eastAsia="仿宋_GB2312" w:cs="Times New Roman"/>
          <w:color w:val="auto"/>
          <w:sz w:val="36"/>
          <w:szCs w:val="36"/>
          <w:highlight w:val="none"/>
          <w:u w:val="single"/>
        </w:rPr>
        <w:t xml:space="preserve">月                </w:t>
      </w:r>
    </w:p>
    <w:p>
      <w:pPr>
        <w:adjustRightInd w:val="0"/>
        <w:snapToGrid w:val="0"/>
        <w:spacing w:line="288" w:lineRule="auto"/>
        <w:ind w:firstLine="1040"/>
        <w:jc w:val="left"/>
        <w:rPr>
          <w:rFonts w:hint="default" w:ascii="Times New Roman" w:hAnsi="Times New Roman" w:eastAsia="仿宋_GB2312" w:cs="Times New Roman"/>
          <w:color w:val="auto"/>
          <w:sz w:val="36"/>
          <w:szCs w:val="36"/>
          <w:highlight w:val="none"/>
          <w:u w:val="single"/>
        </w:rPr>
      </w:pPr>
      <w:bookmarkStart w:id="0" w:name="_Hlk57884087"/>
    </w:p>
    <w:p>
      <w:pPr>
        <w:adjustRightInd w:val="0"/>
        <w:snapToGrid w:val="0"/>
        <w:spacing w:line="288" w:lineRule="auto"/>
        <w:ind w:firstLine="1040"/>
        <w:jc w:val="left"/>
        <w:rPr>
          <w:rFonts w:hint="default" w:ascii="Times New Roman" w:hAnsi="Times New Roman" w:eastAsia="仿宋_GB2312" w:cs="Times New Roman"/>
          <w:color w:val="auto"/>
          <w:sz w:val="36"/>
          <w:szCs w:val="36"/>
          <w:highlight w:val="none"/>
        </w:rPr>
      </w:pPr>
    </w:p>
    <w:p>
      <w:pPr>
        <w:adjustRightInd w:val="0"/>
        <w:snapToGrid w:val="0"/>
        <w:spacing w:line="288" w:lineRule="auto"/>
        <w:ind w:firstLine="1040"/>
        <w:jc w:val="left"/>
        <w:rPr>
          <w:rFonts w:hint="default" w:ascii="Times New Roman" w:hAnsi="Times New Roman" w:eastAsia="仿宋_GB2312" w:cs="Times New Roman"/>
          <w:color w:val="auto"/>
          <w:sz w:val="36"/>
          <w:szCs w:val="36"/>
          <w:highlight w:val="none"/>
        </w:rPr>
      </w:pPr>
    </w:p>
    <w:p>
      <w:pPr>
        <w:adjustRightInd w:val="0"/>
        <w:snapToGrid w:val="0"/>
        <w:spacing w:line="288" w:lineRule="auto"/>
        <w:ind w:firstLine="1040"/>
        <w:jc w:val="left"/>
        <w:rPr>
          <w:rFonts w:hint="default" w:ascii="Times New Roman" w:hAnsi="Times New Roman" w:eastAsia="仿宋_GB2312" w:cs="Times New Roman"/>
          <w:color w:val="auto"/>
          <w:sz w:val="36"/>
          <w:szCs w:val="36"/>
          <w:highlight w:val="none"/>
        </w:rPr>
      </w:pPr>
    </w:p>
    <w:p>
      <w:pPr>
        <w:adjustRightInd w:val="0"/>
        <w:snapToGrid w:val="0"/>
        <w:spacing w:line="288" w:lineRule="auto"/>
        <w:ind w:firstLine="1040"/>
        <w:jc w:val="left"/>
        <w:rPr>
          <w:rFonts w:hint="default" w:ascii="Times New Roman" w:hAnsi="Times New Roman" w:eastAsia="仿宋_GB2312" w:cs="Times New Roman"/>
          <w:color w:val="auto"/>
          <w:sz w:val="36"/>
          <w:szCs w:val="36"/>
          <w:highlight w:val="none"/>
        </w:rPr>
      </w:pPr>
    </w:p>
    <w:bookmarkEnd w:id="0"/>
    <w:p>
      <w:pPr>
        <w:adjustRightInd w:val="0"/>
        <w:snapToGrid w:val="0"/>
        <w:spacing w:line="288" w:lineRule="auto"/>
        <w:jc w:val="center"/>
        <w:outlineLvl w:val="0"/>
        <w:rPr>
          <w:rFonts w:hint="default" w:ascii="Times New Roman" w:hAnsi="Times New Roman" w:eastAsia="楷体_GB2312" w:cs="Times New Roman"/>
          <w:color w:val="auto"/>
          <w:sz w:val="36"/>
          <w:szCs w:val="36"/>
          <w:highlight w:val="none"/>
        </w:rPr>
      </w:pPr>
      <w:r>
        <w:rPr>
          <w:rFonts w:hint="default" w:ascii="Times New Roman" w:hAnsi="Times New Roman" w:eastAsia="楷体_GB2312" w:cs="Times New Roman"/>
          <w:color w:val="auto"/>
          <w:sz w:val="36"/>
          <w:szCs w:val="36"/>
          <w:highlight w:val="none"/>
        </w:rPr>
        <w:t>中华人民共和国生态环境部制</w:t>
      </w: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highlight w:val="none"/>
        </w:rPr>
      </w:pPr>
    </w:p>
    <w:p>
      <w:pPr>
        <w:pStyle w:val="3"/>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建设项目基本情况</w:t>
      </w:r>
    </w:p>
    <w:tbl>
      <w:tblPr>
        <w:tblStyle w:val="11"/>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96"/>
        <w:gridCol w:w="1728"/>
        <w:gridCol w:w="1038"/>
        <w:gridCol w:w="177"/>
        <w:gridCol w:w="1711"/>
        <w:gridCol w:w="27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96"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2"/>
                <w:szCs w:val="28"/>
                <w:highlight w:val="none"/>
              </w:rPr>
            </w:pPr>
            <w:r>
              <w:rPr>
                <w:rFonts w:hint="default" w:ascii="Times New Roman" w:hAnsi="Times New Roman" w:cs="Times New Roman"/>
                <w:color w:val="auto"/>
                <w:sz w:val="22"/>
                <w:szCs w:val="28"/>
                <w:highlight w:val="none"/>
              </w:rPr>
              <w:t>项目名称</w:t>
            </w:r>
          </w:p>
        </w:tc>
        <w:tc>
          <w:tcPr>
            <w:tcW w:w="7374" w:type="dxa"/>
            <w:gridSpan w:val="5"/>
            <w:vAlign w:val="center"/>
          </w:tcPr>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val="en-US" w:eastAsia="zh-CN"/>
              </w:rPr>
              <w:t>福建瑞峰革业有限公司DMF废液回收处理技改</w:t>
            </w:r>
            <w:r>
              <w:rPr>
                <w:rFonts w:hint="default" w:ascii="Times New Roman" w:hAnsi="Times New Roman" w:cs="Times New Roman"/>
                <w:color w:val="auto"/>
                <w:sz w:val="22"/>
                <w:szCs w:val="22"/>
                <w:highlight w:val="none"/>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96"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项目代码</w:t>
            </w:r>
          </w:p>
        </w:tc>
        <w:tc>
          <w:tcPr>
            <w:tcW w:w="7374" w:type="dxa"/>
            <w:gridSpan w:val="5"/>
            <w:vAlign w:val="center"/>
          </w:tcPr>
          <w:p>
            <w:pPr>
              <w:adjustRightInd w:val="0"/>
              <w:snapToGrid w:val="0"/>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cs="Times New Roman"/>
                <w:color w:val="auto"/>
                <w:sz w:val="22"/>
                <w:szCs w:val="22"/>
                <w:highlight w:val="none"/>
                <w:lang w:val="en-US" w:eastAsia="zh-CN"/>
              </w:rPr>
              <w:t>2207</w:t>
            </w:r>
            <w:r>
              <w:rPr>
                <w:rFonts w:hint="default" w:ascii="Times New Roman" w:hAnsi="Times New Roman" w:cs="Times New Roman"/>
                <w:color w:val="auto"/>
                <w:sz w:val="22"/>
                <w:szCs w:val="22"/>
                <w:highlight w:val="none"/>
              </w:rPr>
              <w:t>-350982-07-02-</w:t>
            </w:r>
            <w:r>
              <w:rPr>
                <w:rFonts w:hint="default" w:ascii="Times New Roman" w:hAnsi="Times New Roman" w:cs="Times New Roman"/>
                <w:color w:val="auto"/>
                <w:sz w:val="22"/>
                <w:szCs w:val="22"/>
                <w:highlight w:val="none"/>
                <w:lang w:val="en-US" w:eastAsia="zh-CN"/>
              </w:rPr>
              <w:t>187688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96"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建设单位联系人</w:t>
            </w:r>
          </w:p>
        </w:tc>
        <w:tc>
          <w:tcPr>
            <w:tcW w:w="2766" w:type="dxa"/>
            <w:gridSpan w:val="2"/>
            <w:vAlign w:val="center"/>
          </w:tcPr>
          <w:p>
            <w:pPr>
              <w:adjustRightInd w:val="0"/>
              <w:snapToGrid w:val="0"/>
              <w:jc w:val="center"/>
              <w:rPr>
                <w:rFonts w:hint="default" w:ascii="Times New Roman" w:hAnsi="Times New Roman" w:eastAsia="宋体" w:cs="Times New Roman"/>
                <w:color w:val="auto"/>
                <w:sz w:val="22"/>
                <w:szCs w:val="22"/>
                <w:highlight w:val="none"/>
                <w:lang w:val="en-US" w:eastAsia="zh-CN"/>
              </w:rPr>
            </w:pPr>
          </w:p>
        </w:tc>
        <w:tc>
          <w:tcPr>
            <w:tcW w:w="1888" w:type="dxa"/>
            <w:gridSpan w:val="2"/>
            <w:vAlign w:val="center"/>
          </w:tcPr>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联系方式</w:t>
            </w:r>
          </w:p>
        </w:tc>
        <w:tc>
          <w:tcPr>
            <w:tcW w:w="2720" w:type="dxa"/>
            <w:vAlign w:val="center"/>
          </w:tcPr>
          <w:p>
            <w:pPr>
              <w:adjustRightInd w:val="0"/>
              <w:snapToGrid w:val="0"/>
              <w:jc w:val="center"/>
              <w:rPr>
                <w:rFonts w:hint="default" w:ascii="Times New Roman" w:hAnsi="Times New Roman" w:eastAsia="宋体" w:cs="Times New Roman"/>
                <w:color w:val="auto"/>
                <w:sz w:val="22"/>
                <w:szCs w:val="22"/>
                <w:highlight w:val="none"/>
                <w:lang w:val="en-US" w:eastAsia="zh-CN"/>
              </w:rPr>
            </w:pPr>
            <w:bookmarkStart w:id="25" w:name="_GoBack"/>
            <w:bookmarkEnd w:id="2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96"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建设地点</w:t>
            </w:r>
          </w:p>
        </w:tc>
        <w:tc>
          <w:tcPr>
            <w:tcW w:w="7374" w:type="dxa"/>
            <w:gridSpan w:val="5"/>
            <w:vAlign w:val="center"/>
          </w:tcPr>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u w:val="single"/>
              </w:rPr>
              <w:t xml:space="preserve"> 福建 </w:t>
            </w:r>
            <w:r>
              <w:rPr>
                <w:rFonts w:hint="default" w:ascii="Times New Roman" w:hAnsi="Times New Roman" w:cs="Times New Roman"/>
                <w:color w:val="auto"/>
                <w:sz w:val="22"/>
                <w:szCs w:val="22"/>
                <w:highlight w:val="none"/>
              </w:rPr>
              <w:t>省（自治区）</w:t>
            </w:r>
            <w:r>
              <w:rPr>
                <w:rFonts w:hint="default" w:ascii="Times New Roman" w:hAnsi="Times New Roman" w:cs="Times New Roman"/>
                <w:color w:val="auto"/>
                <w:sz w:val="22"/>
                <w:szCs w:val="22"/>
                <w:highlight w:val="none"/>
                <w:u w:val="single"/>
              </w:rPr>
              <w:t xml:space="preserve"> 宁德 </w:t>
            </w:r>
            <w:r>
              <w:rPr>
                <w:rFonts w:hint="default" w:ascii="Times New Roman" w:hAnsi="Times New Roman" w:cs="Times New Roman"/>
                <w:color w:val="auto"/>
                <w:sz w:val="22"/>
                <w:szCs w:val="22"/>
                <w:highlight w:val="none"/>
              </w:rPr>
              <w:t>市</w:t>
            </w:r>
            <w:r>
              <w:rPr>
                <w:rFonts w:hint="default" w:ascii="Times New Roman" w:hAnsi="Times New Roman" w:cs="Times New Roman"/>
                <w:color w:val="auto"/>
                <w:sz w:val="22"/>
                <w:szCs w:val="22"/>
                <w:highlight w:val="none"/>
                <w:u w:val="single"/>
              </w:rPr>
              <w:t xml:space="preserve"> 福鼎 </w:t>
            </w:r>
            <w:r>
              <w:rPr>
                <w:rFonts w:hint="default" w:ascii="Times New Roman" w:hAnsi="Times New Roman" w:cs="Times New Roman"/>
                <w:color w:val="auto"/>
                <w:sz w:val="22"/>
                <w:szCs w:val="22"/>
                <w:highlight w:val="none"/>
              </w:rPr>
              <w:t>县（区）</w:t>
            </w:r>
            <w:r>
              <w:rPr>
                <w:rFonts w:hint="default" w:ascii="Times New Roman" w:hAnsi="Times New Roman" w:cs="Times New Roman"/>
                <w:color w:val="auto"/>
                <w:sz w:val="22"/>
                <w:szCs w:val="22"/>
                <w:highlight w:val="none"/>
                <w:u w:val="single"/>
              </w:rPr>
              <w:t xml:space="preserve"> 太姥山镇 </w:t>
            </w:r>
            <w:r>
              <w:rPr>
                <w:rFonts w:hint="default" w:ascii="Times New Roman" w:hAnsi="Times New Roman" w:cs="Times New Roman"/>
                <w:color w:val="auto"/>
                <w:sz w:val="22"/>
                <w:szCs w:val="22"/>
                <w:highlight w:val="none"/>
              </w:rPr>
              <w:t>乡（街道）</w:t>
            </w:r>
            <w:r>
              <w:rPr>
                <w:rFonts w:hint="default" w:ascii="Times New Roman" w:hAnsi="Times New Roman" w:cs="Times New Roman"/>
                <w:color w:val="auto"/>
                <w:sz w:val="22"/>
                <w:szCs w:val="22"/>
                <w:highlight w:val="none"/>
                <w:u w:val="single"/>
                <w:lang w:val="en-US" w:eastAsia="zh-CN"/>
              </w:rPr>
              <w:t>福鼎市</w:t>
            </w:r>
            <w:r>
              <w:rPr>
                <w:rFonts w:hint="default" w:ascii="Times New Roman" w:hAnsi="Times New Roman" w:cs="Times New Roman"/>
                <w:color w:val="auto"/>
                <w:sz w:val="22"/>
                <w:szCs w:val="22"/>
                <w:highlight w:val="none"/>
                <w:u w:val="single"/>
              </w:rPr>
              <w:t>文渡</w:t>
            </w:r>
            <w:r>
              <w:rPr>
                <w:rFonts w:hint="default" w:ascii="Times New Roman" w:hAnsi="Times New Roman" w:cs="Times New Roman"/>
                <w:color w:val="auto"/>
                <w:sz w:val="22"/>
                <w:szCs w:val="22"/>
                <w:highlight w:val="none"/>
                <w:u w:val="single"/>
                <w:lang w:val="en-US" w:eastAsia="zh-CN"/>
              </w:rPr>
              <w:t>项目区金潮路16号</w:t>
            </w:r>
            <w:r>
              <w:rPr>
                <w:rFonts w:hint="default" w:ascii="Times New Roman" w:hAnsi="Times New Roman" w:cs="Times New Roman"/>
                <w:color w:val="auto"/>
                <w:sz w:val="22"/>
                <w:szCs w:val="22"/>
                <w:highlight w:val="none"/>
              </w:rPr>
              <w:t>（</w:t>
            </w:r>
            <w:r>
              <w:rPr>
                <w:rFonts w:hint="default" w:ascii="Times New Roman" w:hAnsi="Times New Roman" w:cs="Times New Roman"/>
                <w:color w:val="auto"/>
                <w:sz w:val="22"/>
                <w:szCs w:val="22"/>
                <w:highlight w:val="none"/>
                <w:lang w:val="en-US" w:eastAsia="zh-CN"/>
              </w:rPr>
              <w:t>具体地址</w:t>
            </w:r>
            <w:r>
              <w:rPr>
                <w:rFonts w:hint="default" w:ascii="Times New Roman" w:hAnsi="Times New Roman" w:cs="Times New Roman"/>
                <w:color w:val="auto"/>
                <w:sz w:val="22"/>
                <w:szCs w:val="22"/>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96"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地理坐标</w:t>
            </w:r>
          </w:p>
        </w:tc>
        <w:tc>
          <w:tcPr>
            <w:tcW w:w="7374" w:type="dxa"/>
            <w:gridSpan w:val="5"/>
            <w:vAlign w:val="center"/>
          </w:tcPr>
          <w:p>
            <w:pPr>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w:t>
            </w:r>
            <w:r>
              <w:rPr>
                <w:rFonts w:hint="default" w:ascii="Times New Roman" w:hAnsi="Times New Roman" w:cs="Times New Roman"/>
                <w:color w:val="auto"/>
                <w:sz w:val="22"/>
                <w:szCs w:val="22"/>
                <w:highlight w:val="none"/>
                <w:u w:val="single"/>
              </w:rPr>
              <w:t xml:space="preserve"> 120 </w:t>
            </w:r>
            <w:r>
              <w:rPr>
                <w:rFonts w:hint="default" w:ascii="Times New Roman" w:hAnsi="Times New Roman" w:cs="Times New Roman"/>
                <w:color w:val="auto"/>
                <w:sz w:val="22"/>
                <w:szCs w:val="22"/>
                <w:highlight w:val="none"/>
              </w:rPr>
              <w:t>度</w:t>
            </w:r>
            <w:r>
              <w:rPr>
                <w:rFonts w:hint="default" w:ascii="Times New Roman" w:hAnsi="Times New Roman" w:cs="Times New Roman"/>
                <w:color w:val="auto"/>
                <w:sz w:val="22"/>
                <w:szCs w:val="22"/>
                <w:highlight w:val="none"/>
                <w:u w:val="single"/>
              </w:rPr>
              <w:t xml:space="preserve"> 1</w:t>
            </w:r>
            <w:r>
              <w:rPr>
                <w:rFonts w:hint="default" w:ascii="Times New Roman" w:hAnsi="Times New Roman" w:cs="Times New Roman"/>
                <w:color w:val="auto"/>
                <w:sz w:val="22"/>
                <w:szCs w:val="22"/>
                <w:highlight w:val="none"/>
                <w:u w:val="single"/>
                <w:lang w:val="en-US" w:eastAsia="zh-CN"/>
              </w:rPr>
              <w:t>5</w:t>
            </w:r>
            <w:r>
              <w:rPr>
                <w:rFonts w:hint="default" w:ascii="Times New Roman" w:hAnsi="Times New Roman" w:cs="Times New Roman"/>
                <w:color w:val="auto"/>
                <w:sz w:val="22"/>
                <w:szCs w:val="22"/>
                <w:highlight w:val="none"/>
                <w:u w:val="single"/>
              </w:rPr>
              <w:t xml:space="preserve"> </w:t>
            </w:r>
            <w:r>
              <w:rPr>
                <w:rFonts w:hint="default" w:ascii="Times New Roman" w:hAnsi="Times New Roman" w:cs="Times New Roman"/>
                <w:color w:val="auto"/>
                <w:sz w:val="22"/>
                <w:szCs w:val="22"/>
                <w:highlight w:val="none"/>
              </w:rPr>
              <w:t>分</w:t>
            </w:r>
            <w:r>
              <w:rPr>
                <w:rFonts w:hint="default" w:ascii="Times New Roman" w:hAnsi="Times New Roman" w:cs="Times New Roman"/>
                <w:color w:val="auto"/>
                <w:sz w:val="22"/>
                <w:szCs w:val="22"/>
                <w:highlight w:val="none"/>
                <w:u w:val="single"/>
              </w:rPr>
              <w:t xml:space="preserve"> 0</w:t>
            </w:r>
            <w:r>
              <w:rPr>
                <w:rFonts w:hint="default" w:ascii="Times New Roman" w:hAnsi="Times New Roman" w:cs="Times New Roman"/>
                <w:color w:val="auto"/>
                <w:sz w:val="22"/>
                <w:szCs w:val="22"/>
                <w:highlight w:val="none"/>
                <w:u w:val="single"/>
                <w:lang w:val="en-US" w:eastAsia="zh-CN"/>
              </w:rPr>
              <w:t>5</w:t>
            </w:r>
            <w:r>
              <w:rPr>
                <w:rFonts w:hint="default" w:ascii="Times New Roman" w:hAnsi="Times New Roman" w:cs="Times New Roman"/>
                <w:color w:val="auto"/>
                <w:sz w:val="22"/>
                <w:szCs w:val="22"/>
                <w:highlight w:val="none"/>
                <w:u w:val="single"/>
              </w:rPr>
              <w:t>.</w:t>
            </w:r>
            <w:r>
              <w:rPr>
                <w:rFonts w:hint="default" w:ascii="Times New Roman" w:hAnsi="Times New Roman" w:cs="Times New Roman"/>
                <w:color w:val="auto"/>
                <w:sz w:val="22"/>
                <w:szCs w:val="22"/>
                <w:highlight w:val="none"/>
                <w:u w:val="single"/>
                <w:lang w:val="en-US" w:eastAsia="zh-CN"/>
              </w:rPr>
              <w:t>301</w:t>
            </w:r>
            <w:r>
              <w:rPr>
                <w:rFonts w:hint="default" w:ascii="Times New Roman" w:hAnsi="Times New Roman" w:cs="Times New Roman"/>
                <w:color w:val="auto"/>
                <w:sz w:val="22"/>
                <w:szCs w:val="22"/>
                <w:highlight w:val="none"/>
                <w:u w:val="single"/>
              </w:rPr>
              <w:t xml:space="preserve"> </w:t>
            </w:r>
            <w:r>
              <w:rPr>
                <w:rFonts w:hint="default" w:ascii="Times New Roman" w:hAnsi="Times New Roman" w:cs="Times New Roman"/>
                <w:color w:val="auto"/>
                <w:sz w:val="22"/>
                <w:szCs w:val="22"/>
                <w:highlight w:val="none"/>
              </w:rPr>
              <w:t>秒，</w:t>
            </w:r>
            <w:r>
              <w:rPr>
                <w:rFonts w:hint="default" w:ascii="Times New Roman" w:hAnsi="Times New Roman" w:cs="Times New Roman"/>
                <w:color w:val="auto"/>
                <w:sz w:val="22"/>
                <w:szCs w:val="22"/>
                <w:highlight w:val="none"/>
                <w:u w:val="single"/>
              </w:rPr>
              <w:t xml:space="preserve"> 27 </w:t>
            </w:r>
            <w:r>
              <w:rPr>
                <w:rFonts w:hint="default" w:ascii="Times New Roman" w:hAnsi="Times New Roman" w:cs="Times New Roman"/>
                <w:color w:val="auto"/>
                <w:sz w:val="22"/>
                <w:szCs w:val="22"/>
                <w:highlight w:val="none"/>
              </w:rPr>
              <w:t>度</w:t>
            </w:r>
            <w:r>
              <w:rPr>
                <w:rFonts w:hint="default" w:ascii="Times New Roman" w:hAnsi="Times New Roman" w:cs="Times New Roman"/>
                <w:color w:val="auto"/>
                <w:sz w:val="22"/>
                <w:szCs w:val="22"/>
                <w:highlight w:val="none"/>
                <w:u w:val="single"/>
              </w:rPr>
              <w:t xml:space="preserve"> 0</w:t>
            </w:r>
            <w:r>
              <w:rPr>
                <w:rFonts w:hint="default" w:ascii="Times New Roman" w:hAnsi="Times New Roman" w:cs="Times New Roman"/>
                <w:color w:val="auto"/>
                <w:sz w:val="22"/>
                <w:szCs w:val="22"/>
                <w:highlight w:val="none"/>
                <w:u w:val="single"/>
                <w:lang w:val="en-US" w:eastAsia="zh-CN"/>
              </w:rPr>
              <w:t>3</w:t>
            </w:r>
            <w:r>
              <w:rPr>
                <w:rFonts w:hint="default" w:ascii="Times New Roman" w:hAnsi="Times New Roman" w:cs="Times New Roman"/>
                <w:color w:val="auto"/>
                <w:sz w:val="22"/>
                <w:szCs w:val="22"/>
                <w:highlight w:val="none"/>
                <w:u w:val="single"/>
              </w:rPr>
              <w:t xml:space="preserve"> </w:t>
            </w:r>
            <w:r>
              <w:rPr>
                <w:rFonts w:hint="default" w:ascii="Times New Roman" w:hAnsi="Times New Roman" w:cs="Times New Roman"/>
                <w:color w:val="auto"/>
                <w:sz w:val="22"/>
                <w:szCs w:val="22"/>
                <w:highlight w:val="none"/>
              </w:rPr>
              <w:t>分</w:t>
            </w:r>
            <w:r>
              <w:rPr>
                <w:rFonts w:hint="default" w:ascii="Times New Roman" w:hAnsi="Times New Roman" w:cs="Times New Roman"/>
                <w:color w:val="auto"/>
                <w:sz w:val="22"/>
                <w:szCs w:val="22"/>
                <w:highlight w:val="none"/>
                <w:u w:val="single"/>
              </w:rPr>
              <w:t xml:space="preserve"> </w:t>
            </w:r>
            <w:r>
              <w:rPr>
                <w:rFonts w:hint="default" w:ascii="Times New Roman" w:hAnsi="Times New Roman" w:cs="Times New Roman"/>
                <w:color w:val="auto"/>
                <w:sz w:val="22"/>
                <w:szCs w:val="22"/>
                <w:highlight w:val="none"/>
                <w:u w:val="single"/>
                <w:lang w:val="en-US" w:eastAsia="zh-CN"/>
              </w:rPr>
              <w:t>51</w:t>
            </w:r>
            <w:r>
              <w:rPr>
                <w:rFonts w:hint="default" w:ascii="Times New Roman" w:hAnsi="Times New Roman" w:cs="Times New Roman"/>
                <w:color w:val="auto"/>
                <w:sz w:val="22"/>
                <w:szCs w:val="22"/>
                <w:highlight w:val="none"/>
                <w:u w:val="single"/>
              </w:rPr>
              <w:t>.</w:t>
            </w:r>
            <w:r>
              <w:rPr>
                <w:rFonts w:hint="default" w:ascii="Times New Roman" w:hAnsi="Times New Roman" w:cs="Times New Roman"/>
                <w:color w:val="auto"/>
                <w:sz w:val="22"/>
                <w:szCs w:val="22"/>
                <w:highlight w:val="none"/>
                <w:u w:val="single"/>
                <w:lang w:val="en-US" w:eastAsia="zh-CN"/>
              </w:rPr>
              <w:t>260</w:t>
            </w:r>
            <w:r>
              <w:rPr>
                <w:rFonts w:hint="default" w:ascii="Times New Roman" w:hAnsi="Times New Roman" w:cs="Times New Roman"/>
                <w:color w:val="auto"/>
                <w:sz w:val="22"/>
                <w:szCs w:val="22"/>
                <w:highlight w:val="none"/>
                <w:u w:val="single"/>
              </w:rPr>
              <w:t xml:space="preserve"> </w:t>
            </w:r>
            <w:r>
              <w:rPr>
                <w:rFonts w:hint="default" w:ascii="Times New Roman" w:hAnsi="Times New Roman" w:cs="Times New Roman"/>
                <w:color w:val="auto"/>
                <w:sz w:val="22"/>
                <w:szCs w:val="22"/>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496"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国民经济</w:t>
            </w:r>
          </w:p>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行业类别</w:t>
            </w:r>
          </w:p>
        </w:tc>
        <w:tc>
          <w:tcPr>
            <w:tcW w:w="2766" w:type="dxa"/>
            <w:gridSpan w:val="2"/>
            <w:vAlign w:val="center"/>
          </w:tcPr>
          <w:p>
            <w:pPr>
              <w:pStyle w:val="5"/>
              <w:spacing w:line="240" w:lineRule="auto"/>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N7724 危险废物治理</w:t>
            </w:r>
          </w:p>
        </w:tc>
        <w:tc>
          <w:tcPr>
            <w:tcW w:w="1888" w:type="dxa"/>
            <w:gridSpan w:val="2"/>
            <w:vAlign w:val="center"/>
          </w:tcPr>
          <w:p>
            <w:pPr>
              <w:adjustRightInd w:val="0"/>
              <w:snapToGrid w:val="0"/>
              <w:jc w:val="center"/>
              <w:rPr>
                <w:rFonts w:hint="default" w:ascii="Times New Roman" w:hAnsi="Times New Roman" w:cs="Times New Roman"/>
                <w:color w:val="auto"/>
                <w:sz w:val="22"/>
                <w:szCs w:val="22"/>
                <w:highlight w:val="none"/>
              </w:rPr>
            </w:pPr>
            <w:bookmarkStart w:id="1" w:name="_Hlk49843745"/>
            <w:r>
              <w:rPr>
                <w:rFonts w:hint="default" w:ascii="Times New Roman" w:hAnsi="Times New Roman" w:cs="Times New Roman"/>
                <w:color w:val="auto"/>
                <w:sz w:val="22"/>
                <w:szCs w:val="22"/>
                <w:highlight w:val="none"/>
              </w:rPr>
              <w:t>建设项目</w:t>
            </w:r>
          </w:p>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行业类别</w:t>
            </w:r>
            <w:bookmarkEnd w:id="1"/>
          </w:p>
        </w:tc>
        <w:tc>
          <w:tcPr>
            <w:tcW w:w="2720" w:type="dxa"/>
            <w:vAlign w:val="center"/>
          </w:tcPr>
          <w:p>
            <w:pPr>
              <w:pStyle w:val="5"/>
              <w:spacing w:line="240" w:lineRule="auto"/>
              <w:ind w:firstLine="0" w:firstLineChars="0"/>
              <w:rPr>
                <w:rFonts w:hint="default" w:ascii="Times New Roman" w:hAnsi="Times New Roman" w:cs="Times New Roman"/>
                <w:color w:val="auto"/>
                <w:sz w:val="22"/>
                <w:szCs w:val="22"/>
                <w:highlight w:val="none"/>
                <w:lang w:val="en-US"/>
              </w:rPr>
            </w:pPr>
            <w:r>
              <w:rPr>
                <w:rFonts w:hint="default" w:ascii="Times New Roman" w:hAnsi="Times New Roman" w:cs="Times New Roman"/>
                <w:color w:val="auto"/>
                <w:sz w:val="22"/>
                <w:szCs w:val="22"/>
                <w:highlight w:val="none"/>
                <w:lang w:val="en-US" w:eastAsia="zh-CN"/>
              </w:rPr>
              <w:t>101</w:t>
            </w:r>
            <w:r>
              <w:rPr>
                <w:rFonts w:hint="default" w:ascii="Times New Roman" w:hAnsi="Times New Roman" w:cs="Times New Roman"/>
                <w:color w:val="auto"/>
                <w:sz w:val="22"/>
                <w:szCs w:val="22"/>
                <w:highlight w:val="none"/>
              </w:rPr>
              <w:t xml:space="preserve"> </w:t>
            </w:r>
            <w:r>
              <w:rPr>
                <w:rFonts w:hint="default" w:ascii="Times New Roman" w:hAnsi="Times New Roman" w:cs="Times New Roman"/>
                <w:color w:val="auto"/>
                <w:sz w:val="22"/>
                <w:szCs w:val="22"/>
                <w:highlight w:val="none"/>
                <w:lang w:val="en-US" w:eastAsia="zh-CN"/>
              </w:rPr>
              <w:t>危险废物（不含医疗废物）利用及处置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96"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建设性质</w:t>
            </w:r>
          </w:p>
        </w:tc>
        <w:tc>
          <w:tcPr>
            <w:tcW w:w="2766" w:type="dxa"/>
            <w:gridSpan w:val="2"/>
            <w:vAlign w:val="center"/>
          </w:tcPr>
          <w:p>
            <w:pPr>
              <w:jc w:val="left"/>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sym w:font="Wingdings 2" w:char="00A3"/>
            </w:r>
            <w:r>
              <w:rPr>
                <w:rFonts w:hint="default" w:ascii="Times New Roman" w:hAnsi="Times New Roman" w:cs="Times New Roman"/>
                <w:color w:val="auto"/>
                <w:sz w:val="22"/>
                <w:szCs w:val="22"/>
                <w:highlight w:val="none"/>
              </w:rPr>
              <w:t>新建（迁建）</w:t>
            </w:r>
          </w:p>
          <w:p>
            <w:pPr>
              <w:jc w:val="left"/>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sym w:font="Wingdings 2" w:char="00A3"/>
            </w:r>
            <w:r>
              <w:rPr>
                <w:rFonts w:hint="default" w:ascii="Times New Roman" w:hAnsi="Times New Roman" w:cs="Times New Roman"/>
                <w:color w:val="auto"/>
                <w:sz w:val="22"/>
                <w:szCs w:val="22"/>
                <w:highlight w:val="none"/>
              </w:rPr>
              <w:t>改建</w:t>
            </w:r>
          </w:p>
          <w:p>
            <w:pPr>
              <w:jc w:val="left"/>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sym w:font="Wingdings 2" w:char="0052"/>
            </w:r>
            <w:r>
              <w:rPr>
                <w:rFonts w:hint="default" w:ascii="Times New Roman" w:hAnsi="Times New Roman" w:cs="Times New Roman"/>
                <w:color w:val="auto"/>
                <w:sz w:val="22"/>
                <w:szCs w:val="22"/>
                <w:highlight w:val="none"/>
              </w:rPr>
              <w:t>扩建</w:t>
            </w:r>
          </w:p>
          <w:p>
            <w:pPr>
              <w:jc w:val="left"/>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sym w:font="Wingdings 2" w:char="00A3"/>
            </w:r>
            <w:r>
              <w:rPr>
                <w:rFonts w:hint="default" w:ascii="Times New Roman" w:hAnsi="Times New Roman" w:cs="Times New Roman"/>
                <w:color w:val="auto"/>
                <w:sz w:val="22"/>
                <w:szCs w:val="22"/>
                <w:highlight w:val="none"/>
              </w:rPr>
              <w:t>技术改造</w:t>
            </w:r>
          </w:p>
        </w:tc>
        <w:tc>
          <w:tcPr>
            <w:tcW w:w="1888" w:type="dxa"/>
            <w:gridSpan w:val="2"/>
            <w:vAlign w:val="center"/>
          </w:tcPr>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建设项目</w:t>
            </w:r>
          </w:p>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申报情形</w:t>
            </w:r>
          </w:p>
        </w:tc>
        <w:tc>
          <w:tcPr>
            <w:tcW w:w="2720" w:type="dxa"/>
            <w:vAlign w:val="center"/>
          </w:tcPr>
          <w:p>
            <w:pPr>
              <w:jc w:val="left"/>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sym w:font="Wingdings 2" w:char="0052"/>
            </w:r>
            <w:r>
              <w:rPr>
                <w:rFonts w:hint="default" w:ascii="Times New Roman" w:hAnsi="Times New Roman" w:cs="Times New Roman"/>
                <w:color w:val="auto"/>
                <w:sz w:val="22"/>
                <w:szCs w:val="22"/>
                <w:highlight w:val="none"/>
              </w:rPr>
              <w:t xml:space="preserve">首次申报项目             </w:t>
            </w:r>
          </w:p>
          <w:p>
            <w:pPr>
              <w:jc w:val="left"/>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□不予批准后再次申报项目</w:t>
            </w:r>
          </w:p>
          <w:p>
            <w:pPr>
              <w:jc w:val="left"/>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sym w:font="Wingdings 2" w:char="00A3"/>
            </w:r>
            <w:r>
              <w:rPr>
                <w:rFonts w:hint="default" w:ascii="Times New Roman" w:hAnsi="Times New Roman" w:cs="Times New Roman"/>
                <w:color w:val="auto"/>
                <w:sz w:val="22"/>
                <w:szCs w:val="22"/>
                <w:highlight w:val="none"/>
              </w:rPr>
              <w:t xml:space="preserve">超五年重新审核项目     </w:t>
            </w:r>
          </w:p>
          <w:p>
            <w:pPr>
              <w:jc w:val="left"/>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496"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项目审批（核准/</w:t>
            </w:r>
          </w:p>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备案）部门（选填）</w:t>
            </w:r>
          </w:p>
        </w:tc>
        <w:tc>
          <w:tcPr>
            <w:tcW w:w="2766" w:type="dxa"/>
            <w:gridSpan w:val="2"/>
            <w:vAlign w:val="center"/>
          </w:tcPr>
          <w:p>
            <w:pPr>
              <w:pStyle w:val="5"/>
              <w:ind w:firstLine="0" w:firstLineChars="0"/>
              <w:rPr>
                <w:rFonts w:hint="default" w:ascii="Times New Roman" w:hAnsi="Times New Roman" w:cs="Times New Roman"/>
                <w:color w:val="auto"/>
                <w:sz w:val="28"/>
                <w:szCs w:val="22"/>
                <w:highlight w:val="none"/>
              </w:rPr>
            </w:pPr>
            <w:r>
              <w:rPr>
                <w:rFonts w:hint="default" w:ascii="Times New Roman" w:hAnsi="Times New Roman" w:cs="Times New Roman"/>
                <w:color w:val="auto"/>
                <w:sz w:val="22"/>
                <w:szCs w:val="22"/>
                <w:highlight w:val="none"/>
              </w:rPr>
              <w:t>福鼎市工业和信息化局</w:t>
            </w:r>
          </w:p>
        </w:tc>
        <w:tc>
          <w:tcPr>
            <w:tcW w:w="1888" w:type="dxa"/>
            <w:gridSpan w:val="2"/>
            <w:vAlign w:val="center"/>
          </w:tcPr>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项目审批（核准/</w:t>
            </w:r>
          </w:p>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备案）文号（选填）</w:t>
            </w:r>
          </w:p>
        </w:tc>
        <w:tc>
          <w:tcPr>
            <w:tcW w:w="2720" w:type="dxa"/>
            <w:vAlign w:val="center"/>
          </w:tcPr>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闽工信备[202</w:t>
            </w:r>
            <w:r>
              <w:rPr>
                <w:rFonts w:hint="default" w:ascii="Times New Roman" w:hAnsi="Times New Roman" w:cs="Times New Roman"/>
                <w:color w:val="auto"/>
                <w:sz w:val="22"/>
                <w:szCs w:val="22"/>
                <w:highlight w:val="none"/>
                <w:lang w:val="en-US" w:eastAsia="zh-CN"/>
              </w:rPr>
              <w:t>2</w:t>
            </w:r>
            <w:r>
              <w:rPr>
                <w:rFonts w:hint="default" w:ascii="Times New Roman" w:hAnsi="Times New Roman" w:cs="Times New Roman"/>
                <w:color w:val="auto"/>
                <w:sz w:val="22"/>
                <w:szCs w:val="22"/>
                <w:highlight w:val="none"/>
              </w:rPr>
              <w:t>]J0300</w:t>
            </w:r>
            <w:r>
              <w:rPr>
                <w:rFonts w:hint="default" w:ascii="Times New Roman" w:hAnsi="Times New Roman" w:cs="Times New Roman"/>
                <w:color w:val="auto"/>
                <w:sz w:val="22"/>
                <w:szCs w:val="22"/>
                <w:highlight w:val="none"/>
                <w:lang w:val="en-US" w:eastAsia="zh-CN"/>
              </w:rPr>
              <w:t>27</w:t>
            </w:r>
            <w:r>
              <w:rPr>
                <w:rFonts w:hint="default" w:ascii="Times New Roman" w:hAnsi="Times New Roman" w:cs="Times New Roman"/>
                <w:color w:val="auto"/>
                <w:sz w:val="22"/>
                <w:szCs w:val="22"/>
                <w:highlight w:val="none"/>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96"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总投资（万元）</w:t>
            </w:r>
          </w:p>
        </w:tc>
        <w:tc>
          <w:tcPr>
            <w:tcW w:w="2766" w:type="dxa"/>
            <w:gridSpan w:val="2"/>
            <w:vAlign w:val="center"/>
          </w:tcPr>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val="en-US" w:eastAsia="zh-CN"/>
              </w:rPr>
              <w:t>2</w:t>
            </w:r>
            <w:r>
              <w:rPr>
                <w:rFonts w:hint="default" w:ascii="Times New Roman" w:hAnsi="Times New Roman" w:cs="Times New Roman"/>
                <w:color w:val="auto"/>
                <w:sz w:val="22"/>
                <w:szCs w:val="22"/>
                <w:highlight w:val="none"/>
              </w:rPr>
              <w:t>00</w:t>
            </w:r>
          </w:p>
        </w:tc>
        <w:tc>
          <w:tcPr>
            <w:tcW w:w="1888" w:type="dxa"/>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环保投资（万元）</w:t>
            </w:r>
          </w:p>
        </w:tc>
        <w:tc>
          <w:tcPr>
            <w:tcW w:w="2720" w:type="dxa"/>
            <w:vAlign w:val="center"/>
          </w:tcPr>
          <w:p>
            <w:pPr>
              <w:adjustRightInd w:val="0"/>
              <w:snapToGrid w:val="0"/>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cs="Times New Roman"/>
                <w:color w:val="auto"/>
                <w:sz w:val="22"/>
                <w:szCs w:val="22"/>
                <w:highlight w:val="none"/>
                <w:lang w:val="en-US" w:eastAsia="zh-CN"/>
              </w:rPr>
              <w:t>180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96"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环保投资占比（%）</w:t>
            </w:r>
          </w:p>
        </w:tc>
        <w:tc>
          <w:tcPr>
            <w:tcW w:w="2766" w:type="dxa"/>
            <w:gridSpan w:val="2"/>
            <w:vAlign w:val="center"/>
          </w:tcPr>
          <w:p>
            <w:pPr>
              <w:adjustRightInd w:val="0"/>
              <w:snapToGrid w:val="0"/>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cs="Times New Roman"/>
                <w:color w:val="auto"/>
                <w:sz w:val="22"/>
                <w:szCs w:val="22"/>
                <w:highlight w:val="none"/>
                <w:lang w:val="en-US" w:eastAsia="zh-CN"/>
              </w:rPr>
              <w:t>90</w:t>
            </w:r>
          </w:p>
        </w:tc>
        <w:tc>
          <w:tcPr>
            <w:tcW w:w="1888" w:type="dxa"/>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施工工期</w:t>
            </w:r>
          </w:p>
        </w:tc>
        <w:tc>
          <w:tcPr>
            <w:tcW w:w="2720" w:type="dxa"/>
            <w:vAlign w:val="center"/>
          </w:tcPr>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96"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是否开工建设</w:t>
            </w:r>
          </w:p>
        </w:tc>
        <w:tc>
          <w:tcPr>
            <w:tcW w:w="2766" w:type="dxa"/>
            <w:gridSpan w:val="2"/>
            <w:vAlign w:val="center"/>
          </w:tcPr>
          <w:p>
            <w:pPr>
              <w:adjustRightInd w:val="0"/>
              <w:snapToGrid w:val="0"/>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sym w:font="Wingdings 2" w:char="0052"/>
            </w:r>
            <w:r>
              <w:rPr>
                <w:rFonts w:hint="default" w:ascii="Times New Roman" w:hAnsi="Times New Roman" w:cs="Times New Roman"/>
                <w:color w:val="auto"/>
                <w:sz w:val="22"/>
                <w:szCs w:val="22"/>
                <w:highlight w:val="none"/>
              </w:rPr>
              <w:t>否</w:t>
            </w:r>
          </w:p>
          <w:p>
            <w:pPr>
              <w:adjustRightInd w:val="0"/>
              <w:snapToGrid w:val="0"/>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sym w:font="Wingdings 2" w:char="00A3"/>
            </w:r>
            <w:r>
              <w:rPr>
                <w:rFonts w:hint="default" w:ascii="Times New Roman" w:hAnsi="Times New Roman" w:cs="Times New Roman"/>
                <w:color w:val="auto"/>
                <w:sz w:val="22"/>
                <w:szCs w:val="22"/>
                <w:highlight w:val="none"/>
              </w:rPr>
              <w:t>是：</w:t>
            </w:r>
            <w:r>
              <w:rPr>
                <w:rFonts w:hint="default" w:ascii="Times New Roman" w:hAnsi="Times New Roman" w:cs="Times New Roman"/>
                <w:color w:val="auto"/>
                <w:sz w:val="22"/>
                <w:szCs w:val="22"/>
                <w:highlight w:val="none"/>
                <w:u w:val="single"/>
              </w:rPr>
              <w:t xml:space="preserve">                </w:t>
            </w:r>
          </w:p>
        </w:tc>
        <w:tc>
          <w:tcPr>
            <w:tcW w:w="1888" w:type="dxa"/>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 w:val="22"/>
                <w:szCs w:val="22"/>
                <w:highlight w:val="none"/>
              </w:rPr>
            </w:pPr>
            <w:r>
              <w:rPr>
                <w:rFonts w:hint="default" w:ascii="Times New Roman" w:hAnsi="Times New Roman" w:cs="Times New Roman"/>
                <w:color w:val="auto"/>
                <w:spacing w:val="-6"/>
                <w:sz w:val="22"/>
                <w:szCs w:val="22"/>
                <w:highlight w:val="none"/>
              </w:rPr>
              <w:t>用地（用海）</w:t>
            </w:r>
          </w:p>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pacing w:val="-6"/>
                <w:sz w:val="22"/>
                <w:szCs w:val="22"/>
                <w:highlight w:val="none"/>
              </w:rPr>
              <w:t>面积（m</w:t>
            </w:r>
            <w:r>
              <w:rPr>
                <w:rFonts w:hint="default" w:ascii="Times New Roman" w:hAnsi="Times New Roman" w:cs="Times New Roman"/>
                <w:color w:val="auto"/>
                <w:spacing w:val="-6"/>
                <w:sz w:val="22"/>
                <w:szCs w:val="22"/>
                <w:highlight w:val="none"/>
                <w:vertAlign w:val="superscript"/>
              </w:rPr>
              <w:t>2</w:t>
            </w:r>
            <w:r>
              <w:rPr>
                <w:rFonts w:hint="default" w:ascii="Times New Roman" w:hAnsi="Times New Roman" w:cs="Times New Roman"/>
                <w:color w:val="auto"/>
                <w:spacing w:val="-6"/>
                <w:sz w:val="22"/>
                <w:szCs w:val="22"/>
                <w:highlight w:val="none"/>
              </w:rPr>
              <w:t>）</w:t>
            </w:r>
          </w:p>
        </w:tc>
        <w:tc>
          <w:tcPr>
            <w:tcW w:w="2720" w:type="dxa"/>
            <w:vAlign w:val="center"/>
          </w:tcPr>
          <w:p>
            <w:pPr>
              <w:adjustRightInd w:val="0"/>
              <w:snapToGrid w:val="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6" w:type="dxa"/>
            <w:vMerge w:val="restart"/>
            <w:vAlign w:val="center"/>
          </w:tcPr>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专项评价设置情况</w:t>
            </w:r>
          </w:p>
        </w:tc>
        <w:tc>
          <w:tcPr>
            <w:tcW w:w="1728" w:type="dxa"/>
            <w:vAlign w:val="center"/>
          </w:tcPr>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专项类别</w:t>
            </w:r>
          </w:p>
        </w:tc>
        <w:tc>
          <w:tcPr>
            <w:tcW w:w="1215" w:type="dxa"/>
            <w:gridSpan w:val="2"/>
            <w:vAlign w:val="center"/>
          </w:tcPr>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开展情况</w:t>
            </w:r>
          </w:p>
        </w:tc>
        <w:tc>
          <w:tcPr>
            <w:tcW w:w="4431" w:type="dxa"/>
            <w:gridSpan w:val="2"/>
            <w:vAlign w:val="center"/>
          </w:tcPr>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设置说明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6" w:type="dxa"/>
            <w:vMerge w:val="continue"/>
            <w:vAlign w:val="center"/>
          </w:tcPr>
          <w:p>
            <w:pPr>
              <w:autoSpaceDE w:val="0"/>
              <w:autoSpaceDN w:val="0"/>
              <w:adjustRightInd w:val="0"/>
              <w:snapToGrid w:val="0"/>
              <w:jc w:val="center"/>
              <w:rPr>
                <w:rFonts w:hint="default" w:ascii="Times New Roman" w:hAnsi="Times New Roman" w:cs="Times New Roman"/>
                <w:color w:val="auto"/>
                <w:highlight w:val="none"/>
              </w:rPr>
            </w:pPr>
          </w:p>
        </w:tc>
        <w:tc>
          <w:tcPr>
            <w:tcW w:w="1728" w:type="dxa"/>
            <w:vAlign w:val="center"/>
          </w:tcPr>
          <w:p>
            <w:pPr>
              <w:autoSpaceDE w:val="0"/>
              <w:autoSpaceDN w:val="0"/>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w:t>
            </w:r>
          </w:p>
        </w:tc>
        <w:tc>
          <w:tcPr>
            <w:tcW w:w="1215" w:type="dxa"/>
            <w:gridSpan w:val="2"/>
            <w:vAlign w:val="center"/>
          </w:tcPr>
          <w:p>
            <w:pPr>
              <w:autoSpaceDE w:val="0"/>
              <w:autoSpaceDN w:val="0"/>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否</w:t>
            </w:r>
          </w:p>
        </w:tc>
        <w:tc>
          <w:tcPr>
            <w:tcW w:w="4431" w:type="dxa"/>
            <w:gridSpan w:val="2"/>
            <w:vAlign w:val="center"/>
          </w:tcPr>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本项目排放的废气不涉及有毒有害污染物、二噁英、苯并[a]芘、氰化物、氯气。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6" w:type="dxa"/>
            <w:vMerge w:val="continue"/>
            <w:vAlign w:val="center"/>
          </w:tcPr>
          <w:p>
            <w:pPr>
              <w:autoSpaceDE w:val="0"/>
              <w:autoSpaceDN w:val="0"/>
              <w:adjustRightInd w:val="0"/>
              <w:snapToGrid w:val="0"/>
              <w:jc w:val="center"/>
              <w:rPr>
                <w:rFonts w:hint="default" w:ascii="Times New Roman" w:hAnsi="Times New Roman" w:cs="Times New Roman"/>
                <w:color w:val="auto"/>
                <w:kern w:val="0"/>
                <w:sz w:val="24"/>
                <w:szCs w:val="21"/>
                <w:highlight w:val="none"/>
              </w:rPr>
            </w:pPr>
          </w:p>
        </w:tc>
        <w:tc>
          <w:tcPr>
            <w:tcW w:w="1728" w:type="dxa"/>
            <w:vAlign w:val="center"/>
          </w:tcPr>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地表水</w:t>
            </w:r>
          </w:p>
        </w:tc>
        <w:tc>
          <w:tcPr>
            <w:tcW w:w="1215" w:type="dxa"/>
            <w:gridSpan w:val="2"/>
            <w:vAlign w:val="center"/>
          </w:tcPr>
          <w:p>
            <w:pPr>
              <w:autoSpaceDE w:val="0"/>
              <w:autoSpaceDN w:val="0"/>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否</w:t>
            </w:r>
          </w:p>
        </w:tc>
        <w:tc>
          <w:tcPr>
            <w:tcW w:w="4431" w:type="dxa"/>
            <w:gridSpan w:val="2"/>
            <w:vAlign w:val="center"/>
          </w:tcPr>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本项目产生的</w:t>
            </w:r>
            <w:r>
              <w:rPr>
                <w:rFonts w:hint="default" w:ascii="Times New Roman" w:hAnsi="Times New Roman" w:cs="Times New Roman"/>
                <w:color w:val="auto"/>
                <w:kern w:val="0"/>
                <w:szCs w:val="21"/>
                <w:highlight w:val="none"/>
                <w:lang w:val="en-US" w:eastAsia="zh-CN"/>
              </w:rPr>
              <w:t>冷凝水回用于生产</w:t>
            </w:r>
            <w:r>
              <w:rPr>
                <w:rFonts w:hint="default" w:ascii="Times New Roman" w:hAnsi="Times New Roman" w:cs="Times New Roman"/>
                <w:color w:val="auto"/>
                <w:kern w:val="0"/>
                <w:szCs w:val="21"/>
                <w:highlight w:val="none"/>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6" w:type="dxa"/>
            <w:vMerge w:val="continue"/>
            <w:vAlign w:val="center"/>
          </w:tcPr>
          <w:p>
            <w:pPr>
              <w:autoSpaceDE w:val="0"/>
              <w:autoSpaceDN w:val="0"/>
              <w:adjustRightInd w:val="0"/>
              <w:snapToGrid w:val="0"/>
              <w:jc w:val="center"/>
              <w:rPr>
                <w:rFonts w:hint="default" w:ascii="Times New Roman" w:hAnsi="Times New Roman" w:cs="Times New Roman"/>
                <w:color w:val="auto"/>
                <w:kern w:val="0"/>
                <w:sz w:val="24"/>
                <w:szCs w:val="21"/>
                <w:highlight w:val="none"/>
              </w:rPr>
            </w:pPr>
          </w:p>
        </w:tc>
        <w:tc>
          <w:tcPr>
            <w:tcW w:w="1728" w:type="dxa"/>
            <w:vAlign w:val="center"/>
          </w:tcPr>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环境风险</w:t>
            </w:r>
          </w:p>
        </w:tc>
        <w:tc>
          <w:tcPr>
            <w:tcW w:w="1215" w:type="dxa"/>
            <w:gridSpan w:val="2"/>
            <w:vAlign w:val="center"/>
          </w:tcPr>
          <w:p>
            <w:pPr>
              <w:autoSpaceDE w:val="0"/>
              <w:autoSpaceDN w:val="0"/>
              <w:adjustRightInd w:val="0"/>
              <w:snapToGri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szCs w:val="21"/>
                <w:highlight w:val="none"/>
                <w:lang w:val="en-US" w:eastAsia="zh-CN"/>
              </w:rPr>
              <w:t>是</w:t>
            </w:r>
          </w:p>
        </w:tc>
        <w:tc>
          <w:tcPr>
            <w:tcW w:w="4431" w:type="dxa"/>
            <w:gridSpan w:val="2"/>
            <w:vAlign w:val="center"/>
          </w:tcPr>
          <w:p>
            <w:pPr>
              <w:autoSpaceDE w:val="0"/>
              <w:autoSpaceDN w:val="0"/>
              <w:adjustRightInd w:val="0"/>
              <w:snapToGri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sz w:val="21"/>
                <w:szCs w:val="21"/>
                <w:highlight w:val="none"/>
                <w:lang w:val="en-US" w:eastAsia="zh-CN"/>
              </w:rPr>
              <w:t>本项目风险物质为</w:t>
            </w:r>
            <w:r>
              <w:rPr>
                <w:rFonts w:hint="default" w:ascii="Times New Roman" w:hAnsi="Times New Roman" w:cs="Times New Roman"/>
                <w:color w:val="auto"/>
                <w:sz w:val="21"/>
                <w:szCs w:val="21"/>
                <w:highlight w:val="none"/>
              </w:rPr>
              <w:t>DMF</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DMF废液</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最大储存量为8</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t、2</w:t>
            </w:r>
            <w:r>
              <w:rPr>
                <w:rFonts w:hint="eastAsia" w:cs="Times New Roman"/>
                <w:color w:val="auto"/>
                <w:sz w:val="21"/>
                <w:szCs w:val="21"/>
                <w:highlight w:val="none"/>
                <w:lang w:val="en-US" w:eastAsia="zh-CN"/>
              </w:rPr>
              <w:t>67</w:t>
            </w:r>
            <w:r>
              <w:rPr>
                <w:rFonts w:hint="default" w:ascii="Times New Roman" w:hAnsi="Times New Roman" w:cs="Times New Roman"/>
                <w:color w:val="auto"/>
                <w:sz w:val="21"/>
                <w:szCs w:val="21"/>
                <w:highlight w:val="none"/>
                <w:lang w:val="en-US" w:eastAsia="zh-CN"/>
              </w:rPr>
              <w:t>.67t，</w:t>
            </w:r>
            <w:r>
              <w:rPr>
                <w:rFonts w:hint="default" w:ascii="Times New Roman" w:hAnsi="Times New Roman" w:cs="Times New Roman"/>
                <w:color w:val="auto"/>
                <w:sz w:val="21"/>
                <w:szCs w:val="21"/>
                <w:highlight w:val="none"/>
              </w:rPr>
              <w:t>超过临界量</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因此设置专项评价</w:t>
            </w:r>
            <w:r>
              <w:rPr>
                <w:rFonts w:hint="default" w:ascii="Times New Roman" w:hAnsi="Times New Roman" w:cs="Times New Roman"/>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6" w:type="dxa"/>
            <w:vMerge w:val="continue"/>
            <w:vAlign w:val="center"/>
          </w:tcPr>
          <w:p>
            <w:pPr>
              <w:autoSpaceDE w:val="0"/>
              <w:autoSpaceDN w:val="0"/>
              <w:adjustRightInd w:val="0"/>
              <w:snapToGrid w:val="0"/>
              <w:jc w:val="center"/>
              <w:rPr>
                <w:rFonts w:hint="default" w:ascii="Times New Roman" w:hAnsi="Times New Roman" w:cs="Times New Roman"/>
                <w:color w:val="auto"/>
                <w:kern w:val="0"/>
                <w:sz w:val="24"/>
                <w:szCs w:val="21"/>
                <w:highlight w:val="none"/>
              </w:rPr>
            </w:pPr>
          </w:p>
        </w:tc>
        <w:tc>
          <w:tcPr>
            <w:tcW w:w="1728" w:type="dxa"/>
            <w:vAlign w:val="center"/>
          </w:tcPr>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生态</w:t>
            </w:r>
          </w:p>
        </w:tc>
        <w:tc>
          <w:tcPr>
            <w:tcW w:w="1215" w:type="dxa"/>
            <w:gridSpan w:val="2"/>
            <w:vAlign w:val="center"/>
          </w:tcPr>
          <w:p>
            <w:pPr>
              <w:autoSpaceDE w:val="0"/>
              <w:autoSpaceDN w:val="0"/>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否</w:t>
            </w:r>
          </w:p>
        </w:tc>
        <w:tc>
          <w:tcPr>
            <w:tcW w:w="4431" w:type="dxa"/>
            <w:gridSpan w:val="2"/>
            <w:vAlign w:val="center"/>
          </w:tcPr>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本项目用水来自市政自来水管网供水，不属于新增河道取水的项目。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6" w:type="dxa"/>
            <w:vMerge w:val="continue"/>
            <w:vAlign w:val="center"/>
          </w:tcPr>
          <w:p>
            <w:pPr>
              <w:autoSpaceDE w:val="0"/>
              <w:autoSpaceDN w:val="0"/>
              <w:adjustRightInd w:val="0"/>
              <w:snapToGrid w:val="0"/>
              <w:jc w:val="center"/>
              <w:rPr>
                <w:rFonts w:hint="default" w:ascii="Times New Roman" w:hAnsi="Times New Roman" w:cs="Times New Roman"/>
                <w:color w:val="auto"/>
                <w:kern w:val="0"/>
                <w:sz w:val="24"/>
                <w:szCs w:val="21"/>
                <w:highlight w:val="none"/>
              </w:rPr>
            </w:pPr>
          </w:p>
        </w:tc>
        <w:tc>
          <w:tcPr>
            <w:tcW w:w="1728" w:type="dxa"/>
            <w:vAlign w:val="center"/>
          </w:tcPr>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海洋</w:t>
            </w:r>
          </w:p>
        </w:tc>
        <w:tc>
          <w:tcPr>
            <w:tcW w:w="1215" w:type="dxa"/>
            <w:gridSpan w:val="2"/>
            <w:vAlign w:val="center"/>
          </w:tcPr>
          <w:p>
            <w:pPr>
              <w:autoSpaceDE w:val="0"/>
              <w:autoSpaceDN w:val="0"/>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否</w:t>
            </w:r>
          </w:p>
        </w:tc>
        <w:tc>
          <w:tcPr>
            <w:tcW w:w="4431" w:type="dxa"/>
            <w:gridSpan w:val="2"/>
            <w:vAlign w:val="center"/>
          </w:tcPr>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本项目不属于海洋工程建设项目。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6" w:type="dxa"/>
            <w:vAlign w:val="center"/>
          </w:tcPr>
          <w:p>
            <w:pPr>
              <w:autoSpaceDE w:val="0"/>
              <w:autoSpaceDN w:val="0"/>
              <w:adjustRightInd w:val="0"/>
              <w:snapToGrid w:val="0"/>
              <w:spacing w:line="360" w:lineRule="auto"/>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规划情况</w:t>
            </w:r>
          </w:p>
        </w:tc>
        <w:tc>
          <w:tcPr>
            <w:tcW w:w="7374" w:type="dxa"/>
            <w:gridSpan w:val="5"/>
            <w:vAlign w:val="center"/>
          </w:tcPr>
          <w:p>
            <w:pPr>
              <w:pStyle w:val="5"/>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规划名称：《福鼎市温州园文渡工业集中区总体规划</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调整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96"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规划环境影响</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评价情况</w:t>
            </w:r>
          </w:p>
        </w:tc>
        <w:tc>
          <w:tcPr>
            <w:tcW w:w="7374" w:type="dxa"/>
            <w:gridSpan w:val="5"/>
            <w:vAlign w:val="center"/>
          </w:tcPr>
          <w:p>
            <w:pPr>
              <w:pStyle w:val="5"/>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名称：《福鼎市温州园文渡工业集中区总体规划</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调整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环境影响报告书》</w:t>
            </w:r>
          </w:p>
          <w:p>
            <w:pPr>
              <w:pStyle w:val="5"/>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审</w:t>
            </w:r>
            <w:r>
              <w:rPr>
                <w:rFonts w:hint="default" w:ascii="Times New Roman" w:hAnsi="Times New Roman" w:cs="Times New Roman"/>
                <w:color w:val="auto"/>
                <w:sz w:val="21"/>
                <w:szCs w:val="21"/>
                <w:highlight w:val="none"/>
                <w:lang w:val="en-US" w:eastAsia="zh-CN"/>
              </w:rPr>
              <w:t>查单位</w:t>
            </w:r>
            <w:r>
              <w:rPr>
                <w:rFonts w:hint="default" w:ascii="Times New Roman" w:hAnsi="Times New Roman" w:cs="Times New Roman"/>
                <w:color w:val="auto"/>
                <w:sz w:val="21"/>
                <w:szCs w:val="21"/>
                <w:highlight w:val="none"/>
              </w:rPr>
              <w:t>：原福鼎市环保局</w:t>
            </w:r>
          </w:p>
          <w:p>
            <w:pPr>
              <w:pStyle w:val="5"/>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审查文件名称及文号：《福鼎市环保局关于福鼎市温州园文渡工业集中区总体规划</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调整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环境影响报告书审查意见的函》（鼎环保函[2014]72号）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96" w:type="dxa"/>
            <w:vAlign w:val="center"/>
          </w:tcPr>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规划及规划环境</w:t>
            </w:r>
          </w:p>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影响评价符合性分析</w:t>
            </w:r>
          </w:p>
        </w:tc>
        <w:tc>
          <w:tcPr>
            <w:tcW w:w="7374" w:type="dxa"/>
            <w:gridSpan w:val="5"/>
            <w:vAlign w:val="center"/>
          </w:tcPr>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1 </w:t>
            </w:r>
            <w:r>
              <w:rPr>
                <w:rFonts w:hint="default" w:ascii="Times New Roman" w:hAnsi="Times New Roman" w:cs="Times New Roman"/>
                <w:color w:val="auto"/>
                <w:highlight w:val="none"/>
              </w:rPr>
              <w:t>福鼎市温州园文渡工业集中区总体规划（调整）符合性分析</w:t>
            </w:r>
          </w:p>
          <w:p>
            <w:pPr>
              <w:pStyle w:val="5"/>
              <w:ind w:firstLine="480"/>
              <w:rPr>
                <w:rFonts w:hint="default" w:ascii="Times New Roman" w:hAnsi="Times New Roman" w:cs="Times New Roman"/>
                <w:color w:val="auto"/>
                <w:highlight w:val="none"/>
                <w:lang w:val="en-US" w:eastAsia="zh-CN"/>
              </w:rPr>
            </w:pPr>
            <w:bookmarkStart w:id="2" w:name="_Ref28380"/>
            <w:r>
              <w:rPr>
                <w:rFonts w:hint="default" w:ascii="Times New Roman" w:hAnsi="Times New Roman" w:cs="Times New Roman"/>
                <w:color w:val="auto"/>
                <w:highlight w:val="none"/>
                <w:lang w:val="en-US" w:eastAsia="zh-CN"/>
              </w:rPr>
              <w:t>（1）产业定位符合性分析</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福鼎市温州园文渡工业集中区总体规划（调整）确定的园区规划产业定位为：以合成革及合成革上游制造业、化学纤维制造业、非家用纺织制成品制造、黑色金属铸造及钢压延加工、通用设备制造、电子元件制造、金属表面处理和石膏、水泥制品制造等既有产业为基础；项目区以经三路（中央大道）为轴，分为东西两片区，合成革及合成革上游产业主要布置于西片区，在西片区南部建设金属表面处理中心，东片区逐步调整为黑色金属铸造及钢压延加工、通用设备制造、电子元件制造、新型建筑材料制造产业组团。</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本项目位于福鼎市文渡工业集中区，属于工业用地，用地性质与工业区土地利用规划相符。</w:t>
            </w:r>
            <w:r>
              <w:rPr>
                <w:rFonts w:hint="eastAsia" w:cs="Times New Roman"/>
                <w:color w:val="auto"/>
                <w:highlight w:val="none"/>
                <w:lang w:val="en-US" w:eastAsia="zh-CN"/>
              </w:rPr>
              <w:t>福建瑞峰革有限公司从事合成革生产，符合</w:t>
            </w:r>
            <w:r>
              <w:rPr>
                <w:rFonts w:hint="default" w:ascii="Times New Roman" w:hAnsi="Times New Roman" w:cs="Times New Roman"/>
                <w:color w:val="auto"/>
                <w:highlight w:val="none"/>
              </w:rPr>
              <w:t>文渡工业集中区总体规划（调整）的产业定位</w:t>
            </w:r>
            <w:r>
              <w:rPr>
                <w:rFonts w:hint="eastAsia" w:cs="Times New Roman"/>
                <w:color w:val="auto"/>
                <w:highlight w:val="none"/>
                <w:lang w:eastAsia="zh-CN"/>
              </w:rPr>
              <w:t>，</w:t>
            </w:r>
            <w:r>
              <w:rPr>
                <w:rFonts w:hint="eastAsia" w:cs="Times New Roman"/>
                <w:color w:val="auto"/>
                <w:highlight w:val="none"/>
                <w:lang w:val="en-US" w:eastAsia="zh-CN"/>
              </w:rPr>
              <w:t>本项目是</w:t>
            </w:r>
            <w:r>
              <w:rPr>
                <w:rFonts w:hint="default" w:ascii="Times New Roman" w:hAnsi="Times New Roman" w:cs="Times New Roman"/>
                <w:color w:val="auto"/>
                <w:highlight w:val="none"/>
                <w:lang w:val="en-US" w:eastAsia="zh-CN"/>
              </w:rPr>
              <w:t>福建瑞峰革业有限公司</w:t>
            </w:r>
            <w:r>
              <w:rPr>
                <w:rFonts w:hint="eastAsia" w:cs="Times New Roman"/>
                <w:color w:val="auto"/>
                <w:highlight w:val="none"/>
                <w:lang w:val="en-US" w:eastAsia="zh-CN"/>
              </w:rPr>
              <w:t>为现有合成革生产</w:t>
            </w:r>
            <w:r>
              <w:rPr>
                <w:rFonts w:hint="default" w:ascii="Times New Roman" w:hAnsi="Times New Roman" w:cs="Times New Roman"/>
                <w:color w:val="auto"/>
                <w:highlight w:val="none"/>
                <w:lang w:val="en-US" w:eastAsia="zh-CN"/>
              </w:rPr>
              <w:t>配套DMF回收项目</w:t>
            </w: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属于</w:t>
            </w:r>
            <w:r>
              <w:rPr>
                <w:rFonts w:hint="default" w:ascii="Times New Roman" w:hAnsi="Times New Roman" w:cs="Times New Roman"/>
                <w:color w:val="auto"/>
                <w:highlight w:val="none"/>
                <w:lang w:val="en-US" w:eastAsia="zh-CN"/>
              </w:rPr>
              <w:t>提升污染治理措施</w:t>
            </w:r>
            <w:r>
              <w:rPr>
                <w:rFonts w:hint="eastAsia" w:cs="Times New Roman"/>
                <w:color w:val="auto"/>
                <w:highlight w:val="none"/>
                <w:lang w:val="en-US" w:eastAsia="zh-CN"/>
              </w:rPr>
              <w:t>，因此</w:t>
            </w:r>
            <w:r>
              <w:rPr>
                <w:rFonts w:hint="default" w:ascii="Times New Roman" w:hAnsi="Times New Roman" w:cs="Times New Roman"/>
                <w:color w:val="auto"/>
                <w:highlight w:val="none"/>
              </w:rPr>
              <w:t>符合</w:t>
            </w:r>
            <w:r>
              <w:rPr>
                <w:rFonts w:hint="eastAsia" w:cs="Times New Roman"/>
                <w:color w:val="auto"/>
                <w:highlight w:val="none"/>
                <w:lang w:val="en-US" w:eastAsia="zh-CN"/>
              </w:rPr>
              <w:t>园区产业定位</w:t>
            </w:r>
            <w:r>
              <w:rPr>
                <w:rFonts w:hint="default" w:ascii="Times New Roman" w:hAnsi="Times New Roman" w:cs="Times New Roman"/>
                <w:color w:val="auto"/>
                <w:highlight w:val="none"/>
              </w:rPr>
              <w:t>。</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（2）清洁生产符合性</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文渡工业集中区总体规划（调整）提出，现有合成革企业、集中电镀企业清洁生产水平不低于行业清洁生产二级水平。本项目福建瑞峰革业有限公司为其厂内合成革生产配套的DMF回收项目，将现有工程合成革生产线的DMF废液进行回收处理后回用于生产线，属于环保设施技改提升项目</w:t>
            </w:r>
            <w:r>
              <w:rPr>
                <w:rFonts w:hint="eastAsia" w:cs="Times New Roman"/>
                <w:color w:val="auto"/>
                <w:highlight w:val="none"/>
                <w:lang w:val="en-US" w:eastAsia="zh-CN"/>
              </w:rPr>
              <w:t>。项目设备冷凝水全部回用，无废水排放，减少了全厂新鲜水用量；供热利用现有生产线余热蒸汽，不新增蒸汽量；废气污染物排放量在现有工程“以新带老”中削减中取得，危险废物外运处置量降低，本</w:t>
            </w:r>
            <w:r>
              <w:rPr>
                <w:rFonts w:hint="default" w:ascii="Times New Roman" w:hAnsi="Times New Roman" w:cs="Times New Roman"/>
                <w:color w:val="auto"/>
                <w:highlight w:val="none"/>
                <w:lang w:val="en-US" w:eastAsia="zh-CN"/>
              </w:rPr>
              <w:t>项目建成后总体清洁生产水平达国内先进，符合园区清洁生产要求。</w:t>
            </w:r>
          </w:p>
          <w:bookmarkEnd w:id="2"/>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2 </w:t>
            </w:r>
            <w:r>
              <w:rPr>
                <w:rFonts w:hint="default" w:ascii="Times New Roman" w:hAnsi="Times New Roman" w:cs="Times New Roman"/>
                <w:color w:val="auto"/>
                <w:highlight w:val="none"/>
              </w:rPr>
              <w:t>与规划环境影响评价结论及审查意见的符合性分析</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本项目为福建瑞峰革业有限公司厂内PU合成革生产配套的DMF回收项目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不对外收集、加工危险废物，属于</w:t>
            </w:r>
            <w:r>
              <w:rPr>
                <w:rFonts w:hint="eastAsia" w:cs="Times New Roman"/>
                <w:color w:val="auto"/>
                <w:highlight w:val="none"/>
                <w:lang w:val="en-US" w:eastAsia="zh-CN"/>
              </w:rPr>
              <w:t>企业</w:t>
            </w:r>
            <w:r>
              <w:rPr>
                <w:rFonts w:hint="default" w:ascii="Times New Roman" w:hAnsi="Times New Roman" w:cs="Times New Roman"/>
                <w:color w:val="auto"/>
                <w:highlight w:val="none"/>
                <w:lang w:val="en-US" w:eastAsia="zh-CN"/>
              </w:rPr>
              <w:t>配套环保设施技改提升项目，能够提高企业的清洁生产能力，符合园区产业发展定位，符合园区的环境准入，项目以用电和蒸汽为主要供热系统，清洁生产符合要求，因此项目的建设符合《福鼎市温州园文渡工业集中区总体规划（调整）环境影响报告书》（报批本）及审查意见要求。本项目与《福鼎市温州园文渡工业集中区总体规划（调整）》结论及其审查意见符合性分析如下表所示。</w:t>
            </w:r>
          </w:p>
          <w:p>
            <w:pPr>
              <w:pStyle w:val="1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与规划环境影响评价结论及审查意见的符合性分析</w:t>
            </w:r>
          </w:p>
          <w:tbl>
            <w:tblPr>
              <w:tblStyle w:val="11"/>
              <w:tblW w:w="7154"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91"/>
              <w:gridCol w:w="429"/>
              <w:gridCol w:w="3426"/>
              <w:gridCol w:w="1920"/>
              <w:gridCol w:w="888"/>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491"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文件</w:t>
                  </w:r>
                </w:p>
              </w:tc>
              <w:tc>
                <w:tcPr>
                  <w:tcW w:w="429"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3426"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相关内容</w:t>
                  </w:r>
                </w:p>
              </w:tc>
              <w:tc>
                <w:tcPr>
                  <w:tcW w:w="1920"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本项目情况</w:t>
                  </w:r>
                </w:p>
              </w:tc>
              <w:tc>
                <w:tcPr>
                  <w:tcW w:w="888"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符合性分析</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91" w:type="dxa"/>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报告书主要结论</w:t>
                  </w:r>
                </w:p>
              </w:tc>
              <w:tc>
                <w:tcPr>
                  <w:tcW w:w="429"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3426"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控制规模，禁止劳动密集型行业入住</w:t>
                  </w:r>
                </w:p>
              </w:tc>
              <w:tc>
                <w:tcPr>
                  <w:tcW w:w="1920"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本项目不属于劳动密集型产业</w:t>
                  </w:r>
                </w:p>
              </w:tc>
              <w:tc>
                <w:tcPr>
                  <w:tcW w:w="888"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91"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429"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3426"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工业固体废物利用率</w:t>
                  </w:r>
                  <w:r>
                    <w:rPr>
                      <w:rFonts w:hint="default" w:ascii="Times New Roman" w:hAnsi="Times New Roman" w:cs="Times New Roman"/>
                      <w:color w:val="auto"/>
                      <w:highlight w:val="none"/>
                    </w:rPr>
                    <w:t>≥85%</w:t>
                  </w:r>
                </w:p>
              </w:tc>
              <w:tc>
                <w:tcPr>
                  <w:tcW w:w="1920"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szCs w:val="21"/>
                      <w:highlight w:val="none"/>
                    </w:rPr>
                    <w:t>工业固体废物利用率</w:t>
                  </w:r>
                  <w:r>
                    <w:rPr>
                      <w:rFonts w:hint="default" w:ascii="Times New Roman" w:hAnsi="Times New Roman" w:cs="Times New Roman"/>
                      <w:color w:val="auto"/>
                      <w:highlight w:val="none"/>
                    </w:rPr>
                    <w:t>≥85%</w:t>
                  </w:r>
                </w:p>
              </w:tc>
              <w:tc>
                <w:tcPr>
                  <w:tcW w:w="888"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91"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429"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3426"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①西片区规划为西片工业组团。橡胶及塑料制品业以现状规模为主，主要布置于项目西片区。在西片区的南部紧邻污水处理厂位置发展金属表面处理及热处理加工</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C3360</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建设电镀集中区</w:t>
                  </w:r>
                </w:p>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Cs w:val="21"/>
                      <w:highlight w:val="none"/>
                    </w:rPr>
                    <w:t>②东部片区规划为东片工业组团片区。逐步调整为机械加工、电子元件加工、新型材料制造产业组团。</w:t>
                  </w:r>
                </w:p>
              </w:tc>
              <w:tc>
                <w:tcPr>
                  <w:tcW w:w="1920" w:type="dxa"/>
                  <w:tcBorders>
                    <w:tl2br w:val="nil"/>
                    <w:tr2bl w:val="nil"/>
                  </w:tcBorders>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val="en-US" w:eastAsia="zh-CN"/>
                    </w:rPr>
                    <w:t>为福建瑞峰革业有限公司合成革生产配套的DMF回收项目，在现有厂区内进行建设，未新增合成革产能。</w:t>
                  </w:r>
                </w:p>
              </w:tc>
              <w:tc>
                <w:tcPr>
                  <w:tcW w:w="888"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91"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429" w:type="dxa"/>
                  <w:tcBorders>
                    <w:tl2br w:val="nil"/>
                    <w:tr2bl w:val="nil"/>
                  </w:tcBorders>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w:t>
                  </w:r>
                </w:p>
              </w:tc>
              <w:tc>
                <w:tcPr>
                  <w:tcW w:w="3426" w:type="dxa"/>
                  <w:tcBorders>
                    <w:tl2br w:val="nil"/>
                    <w:tr2bl w:val="nil"/>
                  </w:tcBorders>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工业集中区内企业污水排放有行业排放标准的应执行行业排放标准，电镀污水执行《电镀污染物排放标准》(GB 21900-2008)，其余的执行《污水综合排放标准》(GB8978-1996</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表1和表4三级标准，NH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-N参照执行《污水排入城镇下水道水质标准》(CJ3082-2010)。</w:t>
                  </w:r>
                </w:p>
              </w:tc>
              <w:tc>
                <w:tcPr>
                  <w:tcW w:w="1920" w:type="dxa"/>
                  <w:tcBorders>
                    <w:tl2br w:val="nil"/>
                    <w:tr2bl w:val="nil"/>
                  </w:tcBorders>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本项目冷凝水回用于喷淋塔，不外排。</w:t>
                  </w:r>
                </w:p>
              </w:tc>
              <w:tc>
                <w:tcPr>
                  <w:tcW w:w="888" w:type="dxa"/>
                  <w:tcBorders>
                    <w:tl2br w:val="nil"/>
                    <w:tr2bl w:val="nil"/>
                  </w:tcBorders>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符合</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91" w:type="dxa"/>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审查意见</w:t>
                  </w:r>
                </w:p>
              </w:tc>
              <w:tc>
                <w:tcPr>
                  <w:tcW w:w="429"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3426"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优化产业结构：项目区应以既有产业为基础，不再发展高密度人口聚集，高风险物质贮存等工业项目。</w:t>
                  </w:r>
                </w:p>
              </w:tc>
              <w:tc>
                <w:tcPr>
                  <w:tcW w:w="1920" w:type="dxa"/>
                  <w:tcBorders>
                    <w:tl2br w:val="nil"/>
                    <w:tr2bl w:val="nil"/>
                  </w:tcBorders>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val="en-US" w:eastAsia="zh-CN"/>
                    </w:rPr>
                    <w:t>属于福建瑞峰革业有限公司为既有合成革</w:t>
                  </w:r>
                  <w:r>
                    <w:rPr>
                      <w:rFonts w:hint="eastAsia" w:cs="Times New Roman"/>
                      <w:color w:val="auto"/>
                      <w:highlight w:val="none"/>
                      <w:lang w:val="en-US" w:eastAsia="zh-CN"/>
                    </w:rPr>
                    <w:t>企业</w:t>
                  </w:r>
                  <w:r>
                    <w:rPr>
                      <w:rFonts w:hint="default" w:ascii="Times New Roman" w:hAnsi="Times New Roman" w:cs="Times New Roman"/>
                      <w:color w:val="auto"/>
                      <w:highlight w:val="none"/>
                      <w:lang w:val="en-US" w:eastAsia="zh-CN"/>
                    </w:rPr>
                    <w:t>配套的DMF回收项目，</w:t>
                  </w:r>
                  <w:r>
                    <w:rPr>
                      <w:rFonts w:hint="default" w:ascii="Times New Roman" w:hAnsi="Times New Roman" w:cs="Times New Roman"/>
                      <w:color w:val="auto"/>
                      <w:highlight w:val="none"/>
                    </w:rPr>
                    <w:t>不属于</w:t>
                  </w:r>
                  <w:r>
                    <w:rPr>
                      <w:rFonts w:hint="default" w:ascii="Times New Roman" w:hAnsi="Times New Roman" w:cs="Times New Roman"/>
                      <w:color w:val="auto"/>
                      <w:szCs w:val="21"/>
                      <w:highlight w:val="none"/>
                    </w:rPr>
                    <w:t>高密度人口聚集，高风险物质贮存</w:t>
                  </w:r>
                  <w:r>
                    <w:rPr>
                      <w:rFonts w:hint="default" w:ascii="Times New Roman" w:hAnsi="Times New Roman" w:cs="Times New Roman"/>
                      <w:color w:val="auto"/>
                      <w:highlight w:val="none"/>
                    </w:rPr>
                    <w:t>工业项目。</w:t>
                  </w:r>
                </w:p>
              </w:tc>
              <w:tc>
                <w:tcPr>
                  <w:tcW w:w="888"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91"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429"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3426"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进一步优化空间布局：东片区应逐步调整为黑色金属铸造及钢压延加工，通用设备制造等产业组团；西片区主要布设合成革及合成革上游企业</w:t>
                  </w:r>
                </w:p>
              </w:tc>
              <w:tc>
                <w:tcPr>
                  <w:tcW w:w="1920" w:type="dxa"/>
                  <w:tcBorders>
                    <w:tl2br w:val="nil"/>
                    <w:tr2bl w:val="nil"/>
                  </w:tcBorders>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val="en-US" w:eastAsia="zh-CN"/>
                    </w:rPr>
                    <w:t>为福建瑞峰革业有限公司PU合成革生产配套DMF回收项目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在</w:t>
                  </w:r>
                  <w:r>
                    <w:rPr>
                      <w:rFonts w:hint="default" w:ascii="Times New Roman" w:hAnsi="Times New Roman" w:cs="Times New Roman"/>
                      <w:color w:val="auto"/>
                      <w:highlight w:val="none"/>
                      <w:lang w:val="en-US" w:eastAsia="zh-CN"/>
                    </w:rPr>
                    <w:t>现有厂区空地</w:t>
                  </w:r>
                  <w:r>
                    <w:rPr>
                      <w:rFonts w:hint="default" w:ascii="Times New Roman" w:hAnsi="Times New Roman" w:cs="Times New Roman"/>
                      <w:color w:val="auto"/>
                      <w:highlight w:val="none"/>
                    </w:rPr>
                    <w:t>建设、生产。</w:t>
                  </w:r>
                </w:p>
              </w:tc>
              <w:tc>
                <w:tcPr>
                  <w:tcW w:w="888"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91"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429" w:type="dxa"/>
                  <w:tcBorders>
                    <w:tl2br w:val="nil"/>
                    <w:tr2bl w:val="nil"/>
                  </w:tcBorders>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w:t>
                  </w:r>
                </w:p>
              </w:tc>
              <w:tc>
                <w:tcPr>
                  <w:tcW w:w="3426" w:type="dxa"/>
                  <w:tcBorders>
                    <w:tl2br w:val="nil"/>
                    <w:tr2bl w:val="nil"/>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严格项目区环境准入。严禁违反国家产业政策和不符合工业园主导产业的建设项目区入区应按报《报告书》重点要求提升现有合成革生产企业污染治理措施，使项目区现状大气DMF排放量总体下降</w:t>
                  </w:r>
                </w:p>
              </w:tc>
              <w:tc>
                <w:tcPr>
                  <w:tcW w:w="1920" w:type="dxa"/>
                  <w:tcBorders>
                    <w:tl2br w:val="nil"/>
                    <w:tr2bl w:val="nil"/>
                  </w:tcBorders>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本项目为福建瑞峰革业有限公司提升污染治理措施的项目，总体工程DMF排放量得到削减，符合国家产业政策及园区产业定位。</w:t>
                  </w:r>
                </w:p>
              </w:tc>
              <w:tc>
                <w:tcPr>
                  <w:tcW w:w="888" w:type="dxa"/>
                  <w:tcBorders>
                    <w:tl2br w:val="nil"/>
                    <w:tr2bl w:val="nil"/>
                  </w:tcBorders>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91"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429" w:type="dxa"/>
                  <w:tcBorders>
                    <w:tl2br w:val="nil"/>
                    <w:tr2bl w:val="nil"/>
                  </w:tcBorders>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w:t>
                  </w:r>
                </w:p>
              </w:tc>
              <w:tc>
                <w:tcPr>
                  <w:tcW w:w="3426" w:type="dxa"/>
                  <w:tcBorders>
                    <w:tl2br w:val="nil"/>
                    <w:tr2bl w:val="nil"/>
                  </w:tcBorders>
                  <w:vAlign w:val="center"/>
                </w:tcPr>
                <w:p>
                  <w:pPr>
                    <w:keepNext w:val="0"/>
                    <w:keepLines w:val="0"/>
                    <w:pageBreakBefore w:val="0"/>
                    <w:widowControl w:val="0"/>
                    <w:tabs>
                      <w:tab w:val="left" w:pos="1980"/>
                      <w:tab w:val="left" w:pos="3825"/>
                      <w:tab w:val="left" w:pos="4680"/>
                    </w:tabs>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color w:val="auto"/>
                      <w:sz w:val="21"/>
                      <w:szCs w:val="24"/>
                      <w:highlight w:val="none"/>
                      <w:lang w:val="en-US" w:eastAsia="zh-CN" w:bidi="ar-SA"/>
                    </w:rPr>
                  </w:pPr>
                  <w:r>
                    <w:rPr>
                      <w:rFonts w:hint="default" w:ascii="Times New Roman" w:hAnsi="Times New Roman" w:cs="Times New Roman"/>
                      <w:color w:val="auto"/>
                      <w:highlight w:val="none"/>
                      <w:lang w:val="en-US" w:eastAsia="zh-CN"/>
                    </w:rPr>
                    <w:t>区内合成革及合成革上游厂业应控制在现有规模内，不再新增化工、助剂及带有印、漂染工序的革基布制造企业</w:t>
                  </w:r>
                </w:p>
              </w:tc>
              <w:tc>
                <w:tcPr>
                  <w:tcW w:w="1920" w:type="dxa"/>
                  <w:tcBorders>
                    <w:tl2br w:val="nil"/>
                    <w:tr2bl w:val="nil"/>
                  </w:tcBorders>
                  <w:vAlign w:val="center"/>
                </w:tcPr>
                <w:p>
                  <w:pPr>
                    <w:keepNext w:val="0"/>
                    <w:keepLines w:val="0"/>
                    <w:pageBreakBefore w:val="0"/>
                    <w:widowControl w:val="0"/>
                    <w:tabs>
                      <w:tab w:val="left" w:pos="1980"/>
                      <w:tab w:val="left" w:pos="3825"/>
                      <w:tab w:val="left" w:pos="4680"/>
                    </w:tabs>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color w:val="auto"/>
                      <w:sz w:val="21"/>
                      <w:szCs w:val="24"/>
                      <w:highlight w:val="none"/>
                      <w:lang w:val="en-US" w:eastAsia="zh-CN" w:bidi="ar-SA"/>
                    </w:rPr>
                  </w:pPr>
                  <w:r>
                    <w:rPr>
                      <w:rFonts w:hint="default" w:ascii="Times New Roman" w:hAnsi="Times New Roman" w:cs="Times New Roman"/>
                      <w:color w:val="auto"/>
                      <w:highlight w:val="none"/>
                      <w:lang w:val="en-US" w:eastAsia="zh-CN"/>
                    </w:rPr>
                    <w:t>本工程为福建瑞峰革业有限公司PU合成革生产配套的DMF回收项目</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未新增合成革生产规模</w:t>
                  </w:r>
                </w:p>
              </w:tc>
              <w:tc>
                <w:tcPr>
                  <w:tcW w:w="888" w:type="dxa"/>
                  <w:tcBorders>
                    <w:tl2br w:val="nil"/>
                    <w:tr2bl w:val="nil"/>
                  </w:tcBorders>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91"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429" w:type="dxa"/>
                  <w:tcBorders>
                    <w:tl2br w:val="nil"/>
                    <w:tr2bl w:val="nil"/>
                  </w:tcBorders>
                  <w:vAlign w:val="center"/>
                </w:tcPr>
                <w:p>
                  <w:pPr>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5</w:t>
                  </w:r>
                </w:p>
              </w:tc>
              <w:tc>
                <w:tcPr>
                  <w:tcW w:w="3426"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按照有关污染物排放总量控制要求，控制项目区企业污染物排放总量</w:t>
                  </w:r>
                </w:p>
              </w:tc>
              <w:tc>
                <w:tcPr>
                  <w:tcW w:w="1920"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sz w:val="21"/>
                      <w:highlight w:val="none"/>
                    </w:rPr>
                    <w:t>VOCs排放总量由现有工程“以新带老”削减量中取得，无需再行申请总量调剂</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szCs w:val="21"/>
                      <w:highlight w:val="none"/>
                    </w:rPr>
                    <w:t>符</w:t>
                  </w:r>
                  <w:r>
                    <w:rPr>
                      <w:rFonts w:hint="default" w:ascii="Times New Roman" w:hAnsi="Times New Roman" w:cs="Times New Roman"/>
                      <w:color w:val="auto"/>
                      <w:highlight w:val="none"/>
                    </w:rPr>
                    <w:t>合园区污染物控制要求</w:t>
                  </w:r>
                  <w:r>
                    <w:rPr>
                      <w:rFonts w:hint="default" w:ascii="Times New Roman" w:hAnsi="Times New Roman" w:cs="Times New Roman"/>
                      <w:color w:val="auto"/>
                      <w:szCs w:val="21"/>
                      <w:highlight w:val="none"/>
                    </w:rPr>
                    <w:t>。</w:t>
                  </w:r>
                </w:p>
              </w:tc>
              <w:tc>
                <w:tcPr>
                  <w:tcW w:w="888"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bl>
          <w:p>
            <w:pPr>
              <w:autoSpaceDE w:val="0"/>
              <w:autoSpaceDN w:val="0"/>
              <w:adjustRightInd w:val="0"/>
              <w:snapToGrid w:val="0"/>
              <w:jc w:val="both"/>
              <w:rPr>
                <w:rFonts w:hint="default" w:ascii="Times New Roman" w:hAnsi="Times New Roman" w:cs="Times New Roman"/>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49" w:hRule="atLeast"/>
          <w:jc w:val="center"/>
        </w:trPr>
        <w:tc>
          <w:tcPr>
            <w:tcW w:w="1496" w:type="dxa"/>
            <w:vAlign w:val="center"/>
          </w:tcPr>
          <w:p>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其他符合性分析</w:t>
            </w:r>
          </w:p>
        </w:tc>
        <w:tc>
          <w:tcPr>
            <w:tcW w:w="7374" w:type="dxa"/>
            <w:gridSpan w:val="5"/>
            <w:vAlign w:val="center"/>
          </w:tcPr>
          <w:p>
            <w:pPr>
              <w:pStyle w:val="2"/>
              <w:numPr>
                <w:ilvl w:val="1"/>
                <w:numId w:val="3"/>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产业政策项目符合性分析</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本项目属于</w:t>
            </w:r>
            <w:r>
              <w:rPr>
                <w:rFonts w:hint="default" w:ascii="Times New Roman" w:hAnsi="Times New Roman" w:cs="Times New Roman"/>
                <w:color w:val="auto"/>
                <w:highlight w:val="none"/>
                <w:lang w:val="en-US" w:eastAsia="zh-CN"/>
              </w:rPr>
              <w:t>福建瑞峰革业有限公司本厂PU合成革生产配套的DMF回收项目，不对外收集、加工危险废物，属于危险废物</w:t>
            </w:r>
            <w:r>
              <w:rPr>
                <w:rFonts w:hint="default" w:ascii="Times New Roman" w:hAnsi="Times New Roman" w:cs="Times New Roman"/>
                <w:color w:val="auto"/>
                <w:highlight w:val="none"/>
              </w:rPr>
              <w:t>（不含医疗废物）利用及处置建设项目，</w:t>
            </w:r>
            <w:r>
              <w:rPr>
                <w:rFonts w:hint="default" w:ascii="Times New Roman" w:hAnsi="Times New Roman" w:cs="Times New Roman"/>
                <w:color w:val="auto"/>
                <w:highlight w:val="none"/>
                <w:lang w:val="en-US" w:eastAsia="zh-CN"/>
              </w:rPr>
              <w:t>属于</w:t>
            </w:r>
            <w:r>
              <w:rPr>
                <w:rFonts w:hint="default" w:ascii="Times New Roman" w:hAnsi="Times New Roman" w:cs="Times New Roman"/>
                <w:color w:val="auto"/>
                <w:highlight w:val="none"/>
              </w:rPr>
              <w:t>《产业结构调整指导目录（2019年本）》</w:t>
            </w:r>
            <w:r>
              <w:rPr>
                <w:rFonts w:hint="default" w:ascii="Times New Roman" w:hAnsi="Times New Roman" w:cs="Times New Roman"/>
                <w:color w:val="auto"/>
                <w:highlight w:val="none"/>
                <w:lang w:val="en-US" w:eastAsia="zh-CN"/>
              </w:rPr>
              <w:t>中</w:t>
            </w:r>
            <w:r>
              <w:rPr>
                <w:rFonts w:hint="default" w:ascii="Times New Roman" w:hAnsi="Times New Roman" w:cs="Times New Roman"/>
                <w:color w:val="auto"/>
                <w:highlight w:val="none"/>
              </w:rPr>
              <w:t>“鼓励类”</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“四十三、环境保护与资源节约综合利用”中的第15项“三废”综合利用与治理技术、装备和工程。同时建设单位于202</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日取得了福鼎市工业和信息化局出具的《福建省投资项目备案证明（内资）》（闽工信备[202</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]J0300</w:t>
            </w:r>
            <w:r>
              <w:rPr>
                <w:rFonts w:hint="default" w:ascii="Times New Roman" w:hAnsi="Times New Roman" w:cs="Times New Roman"/>
                <w:color w:val="auto"/>
                <w:highlight w:val="none"/>
                <w:lang w:val="en-US" w:eastAsia="zh-CN"/>
              </w:rPr>
              <w:t>27</w:t>
            </w:r>
            <w:r>
              <w:rPr>
                <w:rFonts w:hint="default" w:ascii="Times New Roman" w:hAnsi="Times New Roman" w:cs="Times New Roman"/>
                <w:color w:val="auto"/>
                <w:highlight w:val="none"/>
              </w:rPr>
              <w:t>号，附件2），因此项目的建设符合国家和地方的产业政策要求。</w:t>
            </w:r>
          </w:p>
          <w:p>
            <w:pPr>
              <w:pStyle w:val="2"/>
              <w:numPr>
                <w:ilvl w:val="1"/>
                <w:numId w:val="3"/>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“三线一单”控制要求符合性分析</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（1）生态保护红线</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用地性质为工业用地，项目不在当地饮用水源保护区、自然保护区、风景名胜区、重要湿地、生态公益林、重要自然与人文景观、文物古迹及其他需要特别保护的区域范围内，项目选址符合生态保护红线要求。</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（2）环境质量底线</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项目所在区域的环境质量底线为：大气环境空气质量目标为《环境空气质量标准》(GB3095-2012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中的二级标准；水环境质量目标文渡滞洪区为《地表水环境质量标准》（GB3838-2002）中的</w:t>
            </w:r>
            <w:r>
              <w:rPr>
                <w:rFonts w:hint="default" w:ascii="Times New Roman" w:hAnsi="Times New Roman" w:cs="Times New Roman"/>
                <w:color w:val="auto"/>
                <w:highlight w:val="none"/>
                <w:lang w:eastAsia="zh-CN"/>
              </w:rPr>
              <w:t>Ⅲ</w:t>
            </w:r>
            <w:r>
              <w:rPr>
                <w:rFonts w:hint="default" w:ascii="Times New Roman" w:hAnsi="Times New Roman" w:cs="Times New Roman"/>
                <w:color w:val="auto"/>
                <w:highlight w:val="none"/>
              </w:rPr>
              <w:t>类水标准限值；声环境质量目标为《声环境质量标准》（GB3096-2008）中的</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类标准。项目所在区域环境质量现状均可满足相应功能区划要求。本项目采取环评提出的各项污染防治措施后，项目排放的污染物不会对区域环境质量底线造成冲击。</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①大气环境质量底线</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宁德市大气环境质量底线为：到2025年，中心城区PM2.5年平均浓度不高于23μg/m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，到2025年县级以上地区空气质量PM2.5年平均浓度不高于18μg/m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。本项目运营期</w:t>
            </w:r>
            <w:r>
              <w:rPr>
                <w:rFonts w:hint="default" w:ascii="Times New Roman" w:hAnsi="Times New Roman" w:cs="Times New Roman"/>
                <w:color w:val="auto"/>
                <w:highlight w:val="none"/>
                <w:lang w:val="en-US" w:eastAsia="zh-CN"/>
              </w:rPr>
              <w:t>不产生颗粒物</w:t>
            </w:r>
            <w:r>
              <w:rPr>
                <w:rFonts w:hint="default" w:ascii="Times New Roman" w:hAnsi="Times New Roman" w:cs="Times New Roman"/>
                <w:color w:val="auto"/>
                <w:highlight w:val="none"/>
              </w:rPr>
              <w:t>，因此符合大气环境质量底线的管控要求。</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②地表水环境质量底线</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宁德市地表水环境质量底线为：到2025年，全市主要流域国、省控断面水质优良（达到或优于Ⅲ类）比例总体达100%，县级以上集中式饮用水水源水质达标率达100%。到2030年，全市主要流域国、省控断面水质优良（达到或优于Ⅲ类）比例总体达100%，县级以上城市建成区黑臭水体总体得到消除，县级以上集中式饮用水水源水质稳定达标。到2035年，全市主要流域国、省控断面水质优良（达到或优于Ⅲ类）比例总体达100%，水生态系统实现良性循环。本项目</w:t>
            </w:r>
            <w:r>
              <w:rPr>
                <w:rFonts w:hint="default" w:ascii="Times New Roman" w:hAnsi="Times New Roman" w:cs="Times New Roman"/>
                <w:color w:val="auto"/>
                <w:highlight w:val="none"/>
                <w:lang w:val="en-US" w:eastAsia="zh-CN"/>
              </w:rPr>
              <w:t>不排放生产废水</w:t>
            </w:r>
            <w:r>
              <w:rPr>
                <w:rFonts w:hint="default" w:ascii="Times New Roman" w:hAnsi="Times New Roman" w:cs="Times New Roman"/>
                <w:color w:val="auto"/>
                <w:highlight w:val="none"/>
              </w:rPr>
              <w:t>，因此符合地表水环境质量底线的管控要求。</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（3）资源利用上线</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项目用水、用电为区域集中供应，以天然气和电为能源，未涉及高污染燃料，因此本项的建设不会突破区域的资源利用上线。</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（4）与环境准入清单的符合性分析</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根据《宁德市人民政府关于印发宁德市“三线一单”生态环境分区管控方案的通知》（宁政[2021]11号），本项目位于福鼎文渡工业集中区属于重点环境管控单元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环境管控单元编码：ZH35098220003)。</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①与宁德市生态环境总体准入要求符合性分析</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根据宁德市陆域生态环境总体准入要求中空间布局要求：福鼎工业园区文渡片区不再新增规划居住区等环境敏感目标，不再发展劳动密集型产业，现有相关产业逐步搬迁。</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本项目位于福鼎市文渡工业园区，不属于劳动密集型产业，项目</w:t>
            </w:r>
            <w:r>
              <w:rPr>
                <w:rFonts w:hint="eastAsia" w:cs="Times New Roman"/>
                <w:color w:val="auto"/>
                <w:highlight w:val="none"/>
                <w:lang w:val="en-US" w:eastAsia="zh-CN"/>
              </w:rPr>
              <w:t>为现有合成革企业配套DMF废液回收处理项目，</w:t>
            </w:r>
            <w:r>
              <w:rPr>
                <w:rFonts w:hint="default" w:ascii="Times New Roman" w:hAnsi="Times New Roman" w:cs="Times New Roman"/>
                <w:color w:val="auto"/>
                <w:highlight w:val="none"/>
              </w:rPr>
              <w:t>符合国家及地方产业政策，属于福鼎市文渡工业集中区的准入行业，符合陆域空间布局要求，见表</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p>
          <w:p>
            <w:pPr>
              <w:pStyle w:val="1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项目与宁德市</w:t>
            </w:r>
            <w:r>
              <w:rPr>
                <w:rFonts w:hint="default" w:ascii="Times New Roman" w:hAnsi="Times New Roman" w:cs="Times New Roman"/>
                <w:color w:val="auto"/>
                <w:highlight w:val="none"/>
                <w:lang w:val="en-US" w:eastAsia="zh-CN"/>
              </w:rPr>
              <w:t>生态环境总体准入要求</w:t>
            </w:r>
            <w:r>
              <w:rPr>
                <w:rFonts w:hint="default" w:ascii="Times New Roman" w:hAnsi="Times New Roman" w:cs="Times New Roman"/>
                <w:color w:val="auto"/>
                <w:highlight w:val="none"/>
              </w:rPr>
              <w:t>符合性分析</w:t>
            </w:r>
          </w:p>
          <w:tbl>
            <w:tblPr>
              <w:tblStyle w:val="11"/>
              <w:tblW w:w="7158"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747"/>
              <w:gridCol w:w="1210"/>
              <w:gridCol w:w="112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27" w:type="dxa"/>
                  <w:gridSpan w:val="2"/>
                  <w:tcBorders>
                    <w:tl2br w:val="nil"/>
                    <w:tr2bl w:val="nil"/>
                  </w:tcBorders>
                  <w:vAlign w:val="center"/>
                </w:tcPr>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准入要求</w:t>
                  </w:r>
                </w:p>
              </w:tc>
              <w:tc>
                <w:tcPr>
                  <w:tcW w:w="1210" w:type="dxa"/>
                  <w:tcBorders>
                    <w:tl2br w:val="nil"/>
                    <w:tr2bl w:val="nil"/>
                  </w:tcBorders>
                  <w:vAlign w:val="center"/>
                </w:tcPr>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p>
              </w:tc>
              <w:tc>
                <w:tcPr>
                  <w:tcW w:w="1121" w:type="dxa"/>
                  <w:tcBorders>
                    <w:tl2br w:val="nil"/>
                    <w:tr2bl w:val="nil"/>
                  </w:tcBorders>
                  <w:vAlign w:val="center"/>
                </w:tcPr>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是否符合准入要求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vAlign w:val="center"/>
                </w:tcPr>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空间布局</w:t>
                  </w:r>
                </w:p>
              </w:tc>
              <w:tc>
                <w:tcPr>
                  <w:tcW w:w="3747" w:type="dxa"/>
                  <w:tcBorders>
                    <w:tl2br w:val="nil"/>
                    <w:tr2bl w:val="nil"/>
                  </w:tcBorders>
                  <w:vAlign w:val="center"/>
                </w:tcPr>
                <w:p>
                  <w:pPr>
                    <w:widowControl/>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1.福鼎工业园区文渡片区不再新增规划居住区等环境敏感目标，不再发展劳动密集型产业，现有相关产业逐步搬迁。</w:t>
                  </w:r>
                </w:p>
                <w:p>
                  <w:pPr>
                    <w:widowControl/>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2.寿宁工业园区、周宁工业园区、柘荣经济开发区禁止新建、扩建以排放氮、磷废水污染物为主的工业项目。</w:t>
                  </w:r>
                </w:p>
                <w:p>
                  <w:pPr>
                    <w:widowControl/>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3.柘荣经济开发区纺织业，寿宁工业园区造纸及纸制品、建材业等不符合园区规划定位的产业项目限制规模并逐步调整。</w:t>
                  </w:r>
                </w:p>
              </w:tc>
              <w:tc>
                <w:tcPr>
                  <w:tcW w:w="1210" w:type="dxa"/>
                  <w:tcBorders>
                    <w:tl2br w:val="nil"/>
                    <w:tr2bl w:val="nil"/>
                  </w:tcBorders>
                  <w:vAlign w:val="center"/>
                </w:tcPr>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本项目位于文渡工业园区，</w:t>
                  </w:r>
                  <w:r>
                    <w:rPr>
                      <w:rFonts w:hint="default" w:ascii="Times New Roman" w:hAnsi="Times New Roman" w:cs="Times New Roman"/>
                      <w:color w:val="auto"/>
                      <w:highlight w:val="none"/>
                      <w:lang w:val="en-US" w:eastAsia="zh-CN"/>
                    </w:rPr>
                    <w:t>未新增职工，</w:t>
                  </w:r>
                  <w:r>
                    <w:rPr>
                      <w:rFonts w:hint="default" w:ascii="Times New Roman" w:hAnsi="Times New Roman" w:cs="Times New Roman"/>
                      <w:color w:val="auto"/>
                      <w:highlight w:val="none"/>
                    </w:rPr>
                    <w:t>不属于劳动密集型产业</w:t>
                  </w:r>
                </w:p>
              </w:tc>
              <w:tc>
                <w:tcPr>
                  <w:tcW w:w="1121" w:type="dxa"/>
                  <w:tcBorders>
                    <w:tl2br w:val="nil"/>
                    <w:tr2bl w:val="nil"/>
                  </w:tcBorders>
                  <w:vAlign w:val="center"/>
                </w:tcPr>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vAlign w:val="center"/>
                </w:tcPr>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污染物排放管控</w:t>
                  </w:r>
                </w:p>
              </w:tc>
              <w:tc>
                <w:tcPr>
                  <w:tcW w:w="3747" w:type="dxa"/>
                  <w:tcBorders>
                    <w:tl2br w:val="nil"/>
                    <w:tr2bl w:val="nil"/>
                  </w:tcBorders>
                  <w:vAlign w:val="center"/>
                </w:tcPr>
                <w:p>
                  <w:pPr>
                    <w:widowControl/>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新建有色、水泥项目应执行大气污染物特别排放限值。</w:t>
                  </w:r>
                </w:p>
              </w:tc>
              <w:tc>
                <w:tcPr>
                  <w:tcW w:w="1210" w:type="dxa"/>
                  <w:tcBorders>
                    <w:tl2br w:val="nil"/>
                    <w:tr2bl w:val="nil"/>
                  </w:tcBorders>
                  <w:vAlign w:val="center"/>
                </w:tcPr>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本项目不属于有色、水泥项目。</w:t>
                  </w:r>
                </w:p>
              </w:tc>
              <w:tc>
                <w:tcPr>
                  <w:tcW w:w="1121" w:type="dxa"/>
                  <w:tcBorders>
                    <w:tl2br w:val="nil"/>
                    <w:tr2bl w:val="nil"/>
                  </w:tcBorders>
                  <w:vAlign w:val="center"/>
                </w:tcPr>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bl>
          <w:p>
            <w:pPr>
              <w:pStyle w:val="5"/>
              <w:spacing w:line="240" w:lineRule="auto"/>
              <w:ind w:firstLine="480"/>
              <w:rPr>
                <w:rFonts w:hint="default" w:ascii="Times New Roman" w:hAnsi="Times New Roman" w:cs="Times New Roman"/>
                <w:color w:val="auto"/>
                <w:highlight w:val="none"/>
              </w:rPr>
            </w:pP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②与宁德市主要工业园区环境管控单元准入要求符合性分析</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本项目位于福鼎文渡工业集中区属于重点环境管控单元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环境管控单元编码：ZH35098220003)，其空间布局约束为：1.文渡片区不再新增规划居住用地等敏感设施，不再发展劳动密集型产业；2.控制文渡工业园区现有合成革产业规模并逐步转型升级。</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污染物排放管控为：1.新建涉VOCs排放项目实行区域内等量替代。2.加快区内污水管网建设，确保工业企业所有废（污）水纳管集中处理，鼓励企业中水回用。</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val="en-US" w:eastAsia="zh-CN"/>
              </w:rPr>
              <w:t>为福建瑞峰革业有限公司厂内PU合成革生产配套的DMF回收</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未新增合成革产能，</w:t>
            </w:r>
            <w:r>
              <w:rPr>
                <w:rFonts w:hint="default" w:ascii="Times New Roman" w:hAnsi="Times New Roman" w:cs="Times New Roman"/>
                <w:color w:val="auto"/>
                <w:highlight w:val="none"/>
              </w:rPr>
              <w:t>未新增生产员工，</w:t>
            </w:r>
            <w:r>
              <w:rPr>
                <w:rFonts w:hint="default" w:ascii="Times New Roman" w:hAnsi="Times New Roman" w:cs="Times New Roman"/>
                <w:color w:val="auto"/>
                <w:highlight w:val="none"/>
                <w:lang w:val="en-US" w:eastAsia="zh-CN"/>
              </w:rPr>
              <w:t>不对外收集、加工危险废物，</w:t>
            </w:r>
            <w:r>
              <w:rPr>
                <w:rFonts w:hint="default" w:ascii="Times New Roman" w:hAnsi="Times New Roman" w:cs="Times New Roman"/>
                <w:color w:val="auto"/>
                <w:highlight w:val="none"/>
              </w:rPr>
              <w:t>不属于劳动密集型产业，符合空间布局约束要求。文渡工业园区污水管网已建设完善，本项目</w:t>
            </w:r>
            <w:r>
              <w:rPr>
                <w:rFonts w:hint="default" w:ascii="Times New Roman" w:hAnsi="Times New Roman" w:cs="Times New Roman"/>
                <w:color w:val="auto"/>
                <w:highlight w:val="none"/>
                <w:lang w:val="en-US" w:eastAsia="zh-CN"/>
              </w:rPr>
              <w:t>冷凝水回用于喷淋塔，不排放；</w:t>
            </w:r>
            <w:r>
              <w:rPr>
                <w:rFonts w:hint="default" w:ascii="Times New Roman" w:hAnsi="Times New Roman" w:cs="Times New Roman"/>
                <w:color w:val="auto"/>
                <w:highlight w:val="none"/>
              </w:rPr>
              <w:t>生活污水处理达标后收集至福鼎市文渡污水处理厂，符合福鼎文渡工业园区污染物排放管控要求。</w:t>
            </w:r>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与《宁德市主要工业园区环境管控单元准入要求》符合性分析</w:t>
            </w:r>
          </w:p>
          <w:tbl>
            <w:tblPr>
              <w:tblStyle w:val="11"/>
              <w:tblW w:w="71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1"/>
              <w:gridCol w:w="3116"/>
              <w:gridCol w:w="2080"/>
              <w:gridCol w:w="10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17" w:type="dxa"/>
                  <w:gridSpan w:val="2"/>
                  <w:tcBorders>
                    <w:tl2br w:val="nil"/>
                    <w:tr2bl w:val="nil"/>
                  </w:tcBorders>
                  <w:shd w:val="clear" w:color="auto" w:fill="auto"/>
                  <w:vAlign w:val="center"/>
                </w:tcPr>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准入要求</w:t>
                  </w:r>
                </w:p>
              </w:tc>
              <w:tc>
                <w:tcPr>
                  <w:tcW w:w="2080" w:type="dxa"/>
                  <w:tcBorders>
                    <w:tl2br w:val="nil"/>
                    <w:tr2bl w:val="nil"/>
                  </w:tcBorders>
                  <w:shd w:val="clear" w:color="auto" w:fill="auto"/>
                  <w:vAlign w:val="center"/>
                </w:tcPr>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p>
              </w:tc>
              <w:tc>
                <w:tcPr>
                  <w:tcW w:w="1057" w:type="dxa"/>
                  <w:tcBorders>
                    <w:tl2br w:val="nil"/>
                    <w:tr2bl w:val="nil"/>
                  </w:tcBorders>
                  <w:shd w:val="clear" w:color="auto" w:fill="auto"/>
                  <w:vAlign w:val="center"/>
                </w:tcPr>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是否符合准入要求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9" w:hRule="atLeast"/>
                <w:jc w:val="center"/>
              </w:trPr>
              <w:tc>
                <w:tcPr>
                  <w:tcW w:w="901" w:type="dxa"/>
                  <w:tcBorders>
                    <w:tl2br w:val="nil"/>
                    <w:tr2bl w:val="nil"/>
                  </w:tcBorders>
                  <w:shd w:val="clear" w:color="auto" w:fill="auto"/>
                  <w:vAlign w:val="center"/>
                </w:tcPr>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空间布局约束</w:t>
                  </w:r>
                </w:p>
              </w:tc>
              <w:tc>
                <w:tcPr>
                  <w:tcW w:w="3116" w:type="dxa"/>
                  <w:tcBorders>
                    <w:tl2br w:val="nil"/>
                    <w:tr2bl w:val="nil"/>
                  </w:tcBorders>
                  <w:shd w:val="clear" w:color="auto" w:fill="auto"/>
                  <w:vAlign w:val="center"/>
                </w:tcPr>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1.文渡片区不再新增规划居住用地等敏感设施，不再发展劳动密集型产业。</w:t>
                  </w:r>
                </w:p>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2.控制文渡工业园区现有合成革产业规模并逐步转型升级。</w:t>
                  </w:r>
                </w:p>
              </w:tc>
              <w:tc>
                <w:tcPr>
                  <w:tcW w:w="2080" w:type="dxa"/>
                  <w:tcBorders>
                    <w:tl2br w:val="nil"/>
                    <w:tr2bl w:val="nil"/>
                  </w:tcBorders>
                  <w:shd w:val="clear" w:color="auto" w:fill="auto"/>
                  <w:vAlign w:val="center"/>
                </w:tcPr>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本项目位于文渡工业园区，</w:t>
                  </w:r>
                  <w:r>
                    <w:rPr>
                      <w:rFonts w:hint="default" w:ascii="Times New Roman" w:hAnsi="Times New Roman" w:cs="Times New Roman"/>
                      <w:color w:val="auto"/>
                      <w:highlight w:val="none"/>
                      <w:lang w:val="en-US" w:eastAsia="zh-CN"/>
                    </w:rPr>
                    <w:t>本次未</w:t>
                  </w:r>
                  <w:r>
                    <w:rPr>
                      <w:rFonts w:hint="default" w:ascii="Times New Roman" w:hAnsi="Times New Roman" w:cs="Times New Roman"/>
                      <w:color w:val="auto"/>
                      <w:highlight w:val="none"/>
                    </w:rPr>
                    <w:t>新增职工，不属于劳动密集型产业及合成革产业</w:t>
                  </w:r>
                </w:p>
              </w:tc>
              <w:tc>
                <w:tcPr>
                  <w:tcW w:w="1057" w:type="dxa"/>
                  <w:tcBorders>
                    <w:tl2br w:val="nil"/>
                    <w:tr2bl w:val="nil"/>
                  </w:tcBorders>
                  <w:shd w:val="clear" w:color="auto" w:fill="auto"/>
                  <w:vAlign w:val="center"/>
                </w:tcPr>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tcBorders>
                    <w:tl2br w:val="nil"/>
                    <w:tr2bl w:val="nil"/>
                  </w:tcBorders>
                  <w:shd w:val="clear" w:color="auto" w:fill="auto"/>
                  <w:vAlign w:val="center"/>
                </w:tcPr>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污染物排放管控</w:t>
                  </w:r>
                </w:p>
              </w:tc>
              <w:tc>
                <w:tcPr>
                  <w:tcW w:w="3116" w:type="dxa"/>
                  <w:tcBorders>
                    <w:tl2br w:val="nil"/>
                    <w:tr2bl w:val="nil"/>
                  </w:tcBorders>
                  <w:shd w:val="clear" w:color="auto" w:fill="auto"/>
                  <w:vAlign w:val="center"/>
                </w:tcPr>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1.新建涉VOCs排放项目实行区域内等量替代。</w:t>
                  </w:r>
                </w:p>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2.加快区内污水管网建设，确保工业企业所有废（污）水纳管集中处理，鼓励企业中水回用。</w:t>
                  </w:r>
                </w:p>
              </w:tc>
              <w:tc>
                <w:tcPr>
                  <w:tcW w:w="2080" w:type="dxa"/>
                  <w:tcBorders>
                    <w:tl2br w:val="nil"/>
                    <w:tr2bl w:val="nil"/>
                  </w:tcBorders>
                  <w:shd w:val="clear" w:color="auto" w:fill="auto"/>
                  <w:vAlign w:val="center"/>
                </w:tcPr>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本项目不新增</w:t>
                  </w:r>
                  <w:r>
                    <w:rPr>
                      <w:rFonts w:hint="default" w:ascii="Times New Roman" w:hAnsi="Times New Roman" w:cs="Times New Roman"/>
                      <w:color w:val="auto"/>
                      <w:highlight w:val="none"/>
                    </w:rPr>
                    <w:t>VOCs排放总量，无需再行申请总量调剂；所在区域污水管网已建设完善，项目</w:t>
                  </w:r>
                  <w:r>
                    <w:rPr>
                      <w:rFonts w:hint="default" w:ascii="Times New Roman" w:hAnsi="Times New Roman" w:cs="Times New Roman"/>
                      <w:color w:val="auto"/>
                      <w:highlight w:val="none"/>
                      <w:lang w:val="en-US" w:eastAsia="zh-CN"/>
                    </w:rPr>
                    <w:t>冷凝水回用于喷淋塔</w:t>
                  </w:r>
                  <w:r>
                    <w:rPr>
                      <w:rFonts w:hint="default" w:ascii="Times New Roman" w:hAnsi="Times New Roman" w:cs="Times New Roman"/>
                      <w:color w:val="auto"/>
                      <w:highlight w:val="none"/>
                    </w:rPr>
                    <w:t>。</w:t>
                  </w:r>
                </w:p>
              </w:tc>
              <w:tc>
                <w:tcPr>
                  <w:tcW w:w="1057" w:type="dxa"/>
                  <w:tcBorders>
                    <w:tl2br w:val="nil"/>
                    <w:tr2bl w:val="nil"/>
                  </w:tcBorders>
                  <w:shd w:val="clear" w:color="auto" w:fill="auto"/>
                  <w:vAlign w:val="center"/>
                </w:tcPr>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bl>
          <w:p>
            <w:pPr>
              <w:bidi w:val="0"/>
              <w:rPr>
                <w:rFonts w:hint="default" w:ascii="Times New Roman" w:hAnsi="Times New Roman" w:cs="Times New Roman"/>
                <w:color w:val="auto"/>
                <w:highlight w:val="none"/>
              </w:rPr>
            </w:pPr>
          </w:p>
          <w:p>
            <w:pPr>
              <w:pStyle w:val="2"/>
              <w:numPr>
                <w:ilvl w:val="1"/>
                <w:numId w:val="3"/>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选址可行性分析</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本项目在现有厂区内</w:t>
            </w:r>
            <w:r>
              <w:rPr>
                <w:rFonts w:hint="default" w:ascii="Times New Roman" w:hAnsi="Times New Roman" w:cs="Times New Roman"/>
                <w:color w:val="auto"/>
                <w:highlight w:val="none"/>
                <w:lang w:val="en-US" w:eastAsia="zh-CN"/>
              </w:rPr>
              <w:t>建设</w:t>
            </w:r>
            <w:r>
              <w:rPr>
                <w:rFonts w:hint="default" w:ascii="Times New Roman" w:hAnsi="Times New Roman" w:cs="Times New Roman"/>
                <w:color w:val="auto"/>
                <w:highlight w:val="none"/>
              </w:rPr>
              <w:t>，厂房位于福鼎市文渡工业集中区，文渡工业集中区为福鼎市城市规划中的工业用地，因此本项目选址符合福鼎市总体规划要求。</w:t>
            </w:r>
            <w:r>
              <w:rPr>
                <w:rFonts w:hint="default" w:ascii="Times New Roman" w:hAnsi="Times New Roman" w:cs="Times New Roman"/>
                <w:color w:val="auto"/>
                <w:highlight w:val="none"/>
                <w:lang w:val="en-US" w:eastAsia="zh-CN"/>
              </w:rPr>
              <w:t>同时，项目属于现有合成革企业的污染治理措施提升项目，符合园区产业定位及规划要求。</w:t>
            </w:r>
            <w:r>
              <w:rPr>
                <w:rFonts w:hint="default" w:ascii="Times New Roman" w:hAnsi="Times New Roman" w:cs="Times New Roman"/>
                <w:color w:val="auto"/>
                <w:highlight w:val="none"/>
              </w:rPr>
              <w:t>根据其土地证（鼎国用（20</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）第07</w:t>
            </w:r>
            <w:r>
              <w:rPr>
                <w:rFonts w:hint="default" w:ascii="Times New Roman" w:hAnsi="Times New Roman" w:cs="Times New Roman"/>
                <w:color w:val="auto"/>
                <w:highlight w:val="none"/>
                <w:lang w:val="en-US" w:eastAsia="zh-CN"/>
              </w:rPr>
              <w:t>61</w:t>
            </w:r>
            <w:r>
              <w:rPr>
                <w:rFonts w:hint="default" w:ascii="Times New Roman" w:hAnsi="Times New Roman" w:cs="Times New Roman"/>
                <w:color w:val="auto"/>
                <w:highlight w:val="none"/>
              </w:rPr>
              <w:t>号），该项目土地用途为工业用地，选址符合当地土地用地规划。</w:t>
            </w:r>
          </w:p>
          <w:p>
            <w:pPr>
              <w:pStyle w:val="2"/>
              <w:numPr>
                <w:ilvl w:val="1"/>
                <w:numId w:val="3"/>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与《福建省合成革与人造革行业环境准入条件》符合性分析</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项目与《福建省合成革与人造革行业环境准入条件》符合性分析见</w:t>
            </w:r>
            <w:r>
              <w:rPr>
                <w:rFonts w:hint="default" w:ascii="Times New Roman" w:hAnsi="Times New Roman" w:cs="Times New Roman"/>
                <w:color w:val="auto"/>
                <w:highlight w:val="none"/>
                <w:lang w:val="en-US" w:eastAsia="zh-CN"/>
              </w:rPr>
              <w:t>下表</w:t>
            </w:r>
            <w:r>
              <w:rPr>
                <w:rFonts w:hint="default" w:ascii="Times New Roman" w:hAnsi="Times New Roman" w:cs="Times New Roman"/>
                <w:color w:val="auto"/>
                <w:highlight w:val="none"/>
              </w:rPr>
              <w:t>，由该表可知，基本符合《福建省合成革与人造革行业环境准入条件》的规定。</w:t>
            </w:r>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与《福建省合成革与人造革行业环境准入条件》符合性分析</w:t>
            </w:r>
          </w:p>
          <w:tbl>
            <w:tblPr>
              <w:tblStyle w:val="11"/>
              <w:tblW w:w="7155"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10"/>
              <w:gridCol w:w="3269"/>
              <w:gridCol w:w="2605"/>
              <w:gridCol w:w="67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610"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3269"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准入条件</w:t>
                  </w:r>
                </w:p>
              </w:tc>
              <w:tc>
                <w:tcPr>
                  <w:tcW w:w="2605"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w:t>
                  </w:r>
                  <w:r>
                    <w:rPr>
                      <w:rFonts w:hint="default" w:ascii="Times New Roman" w:hAnsi="Times New Roman" w:cs="Times New Roman"/>
                      <w:color w:val="auto"/>
                      <w:highlight w:val="none"/>
                    </w:rPr>
                    <w:t>项目建设情况</w:t>
                  </w:r>
                </w:p>
              </w:tc>
              <w:tc>
                <w:tcPr>
                  <w:tcW w:w="671"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10"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一</w:t>
                  </w:r>
                </w:p>
              </w:tc>
              <w:tc>
                <w:tcPr>
                  <w:tcW w:w="6545" w:type="dxa"/>
                  <w:gridSpan w:val="3"/>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基本原则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10"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3269"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新建、扩建合成革企业须进入设区市统一规划的专业园区或生产基地内</w:t>
                  </w:r>
                </w:p>
              </w:tc>
              <w:tc>
                <w:tcPr>
                  <w:tcW w:w="2605"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项目位于</w:t>
                  </w:r>
                  <w:r>
                    <w:rPr>
                      <w:rFonts w:hint="default" w:ascii="Times New Roman" w:hAnsi="Times New Roman" w:cs="Times New Roman"/>
                      <w:color w:val="auto"/>
                      <w:highlight w:val="none"/>
                    </w:rPr>
                    <w:t>福鼎市文渡工业集中区</w:t>
                  </w:r>
                </w:p>
              </w:tc>
              <w:tc>
                <w:tcPr>
                  <w:tcW w:w="671"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10"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3269"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新建或改扩建合成革企业的清洁生产水平至少应达到国内先进水平，其中污染物产生指标要接近或达到国际先进水平</w:t>
                  </w:r>
                </w:p>
              </w:tc>
              <w:tc>
                <w:tcPr>
                  <w:tcW w:w="2605"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清洁生产水平为二级，达到国内先进水平</w:t>
                  </w:r>
                </w:p>
              </w:tc>
              <w:tc>
                <w:tcPr>
                  <w:tcW w:w="671"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10"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二</w:t>
                  </w:r>
                </w:p>
              </w:tc>
              <w:tc>
                <w:tcPr>
                  <w:tcW w:w="6545" w:type="dxa"/>
                  <w:gridSpan w:val="3"/>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工艺技术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10"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3269"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单个企业生产线应不少于4条，总设计生产能力应达到1000万m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/年</w:t>
                  </w:r>
                </w:p>
              </w:tc>
              <w:tc>
                <w:tcPr>
                  <w:tcW w:w="2605"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现有工程生产线共4条，本项目不新增合成革产能</w:t>
                  </w:r>
                </w:p>
              </w:tc>
              <w:tc>
                <w:tcPr>
                  <w:tcW w:w="671"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10"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3269"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普通合成革企业的清洁生产水平必须达到《清洁生产标准合成革工业》（HJ449－2008）中规定的二级标准，其中取水量、废水产生量、COD产生量、废水中DMF产生量、溶剂回收率、水重复利用率等指标应达到一级标准，DMF精馏废水率应≥75%，生产原料甲苯、二甲苯有毒有害溶剂的使用率应低于5%</w:t>
                  </w:r>
                </w:p>
              </w:tc>
              <w:tc>
                <w:tcPr>
                  <w:tcW w:w="2605"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本项目建成后</w:t>
                  </w:r>
                  <w:r>
                    <w:rPr>
                      <w:rFonts w:hint="default" w:ascii="Times New Roman" w:hAnsi="Times New Roman" w:cs="Times New Roman"/>
                      <w:color w:val="auto"/>
                      <w:highlight w:val="none"/>
                    </w:rPr>
                    <w:t>清洁生产水平为二级</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其中合成革生产废水全部进行蒸馏后循环回用，</w:t>
                  </w:r>
                  <w:r>
                    <w:rPr>
                      <w:rFonts w:hint="default" w:ascii="Times New Roman" w:hAnsi="Times New Roman" w:cs="Times New Roman"/>
                      <w:color w:val="auto"/>
                      <w:highlight w:val="none"/>
                    </w:rPr>
                    <w:t>取水量</w:t>
                  </w:r>
                  <w:r>
                    <w:rPr>
                      <w:rFonts w:hint="default" w:ascii="Times New Roman" w:hAnsi="Times New Roman" w:cs="Times New Roman"/>
                      <w:color w:val="auto"/>
                      <w:highlight w:val="none"/>
                      <w:lang w:val="en-US" w:eastAsia="zh-CN"/>
                    </w:rPr>
                    <w:t>，水重复利用率</w:t>
                  </w:r>
                  <w:r>
                    <w:rPr>
                      <w:rFonts w:hint="default" w:ascii="Times New Roman" w:hAnsi="Times New Roman" w:cs="Times New Roman"/>
                      <w:color w:val="auto"/>
                      <w:highlight w:val="none"/>
                    </w:rPr>
                    <w:t>等指标能达到一级标准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现有工程合成革生产原料及本项目的原料DMF废液中甲苯、二甲苯有毒有害溶剂使用率低于5%。</w:t>
                  </w:r>
                </w:p>
              </w:tc>
              <w:tc>
                <w:tcPr>
                  <w:tcW w:w="671"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10"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3269"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DMF回收应配备脱胺、脱酸设备，并安装塔顶蒸馏水温度和回用计量装置</w:t>
                  </w:r>
                </w:p>
              </w:tc>
              <w:tc>
                <w:tcPr>
                  <w:tcW w:w="2605"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本项目新增DMF蒸馏回收处理装置，采用低温蒸馏，不会分解为甲酸和二甲胺。</w:t>
                  </w:r>
                </w:p>
              </w:tc>
              <w:tc>
                <w:tcPr>
                  <w:tcW w:w="671"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10"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3269"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聚氨酯树脂原料应使用容积在1m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以上的密闭容器储运，湿法生产线应采用机械投加方式投加浆料。</w:t>
                  </w:r>
                </w:p>
              </w:tc>
              <w:tc>
                <w:tcPr>
                  <w:tcW w:w="2605"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现有工程</w:t>
                  </w:r>
                  <w:r>
                    <w:rPr>
                      <w:rFonts w:hint="default" w:ascii="Times New Roman" w:hAnsi="Times New Roman" w:cs="Times New Roman"/>
                      <w:color w:val="auto"/>
                      <w:highlight w:val="none"/>
                    </w:rPr>
                    <w:t>树脂</w:t>
                  </w:r>
                  <w:r>
                    <w:rPr>
                      <w:rFonts w:hint="default" w:ascii="Times New Roman" w:hAnsi="Times New Roman" w:cs="Times New Roman"/>
                      <w:color w:val="auto"/>
                      <w:highlight w:val="none"/>
                      <w:lang w:val="en-US" w:eastAsia="zh-CN"/>
                    </w:rPr>
                    <w:t>已</w:t>
                  </w:r>
                  <w:r>
                    <w:rPr>
                      <w:rFonts w:hint="default" w:ascii="Times New Roman" w:hAnsi="Times New Roman" w:cs="Times New Roman"/>
                      <w:color w:val="auto"/>
                      <w:highlight w:val="none"/>
                    </w:rPr>
                    <w:t>使用容积1m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密闭容器储运</w:t>
                  </w:r>
                </w:p>
              </w:tc>
              <w:tc>
                <w:tcPr>
                  <w:tcW w:w="671"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10"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三</w:t>
                  </w:r>
                </w:p>
              </w:tc>
              <w:tc>
                <w:tcPr>
                  <w:tcW w:w="6545" w:type="dxa"/>
                  <w:gridSpan w:val="3"/>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污染治理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10"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3269"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集控区应建设集中污水处理厂，水污染物排放执行《合成革与人造革工业污染物排放标准》（GB21902-2008）</w:t>
                  </w:r>
                </w:p>
              </w:tc>
              <w:tc>
                <w:tcPr>
                  <w:tcW w:w="2605"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本项目冷凝水回用于喷淋塔</w:t>
                  </w:r>
                </w:p>
              </w:tc>
              <w:tc>
                <w:tcPr>
                  <w:tcW w:w="671"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10"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3269"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集控区应建设DMF废水集中精馏系统，实行集中供热</w:t>
                  </w:r>
                </w:p>
              </w:tc>
              <w:tc>
                <w:tcPr>
                  <w:tcW w:w="2605"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园区已集中供热，暂未建设DMF废水集中精馏系统，因此本项目对本厂内PU合成革产生的DMF废液进行精馏回收。</w:t>
                  </w:r>
                </w:p>
              </w:tc>
              <w:tc>
                <w:tcPr>
                  <w:tcW w:w="671"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10"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3269"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集控区内各企业或设施废水应经预处理后再纳入集控区集中污水处理厂进一步处理，不得直接向水体排放。DMF集中精馏后，精馏设施废水的各类污染物以及区内企业其他废水的DMF、甲苯等特征污染物应预处理至不超过GB21092-2008中排放限值的2倍；DMF精馏塔洗涤水应储存于足够容积的钢储罐内，通过计量泵进入污水处理系统</w:t>
                  </w:r>
                </w:p>
              </w:tc>
              <w:tc>
                <w:tcPr>
                  <w:tcW w:w="2605" w:type="dxa"/>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本项目冷凝水回用于喷淋塔，不外排。</w:t>
                  </w:r>
                </w:p>
              </w:tc>
              <w:tc>
                <w:tcPr>
                  <w:tcW w:w="671"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10"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3269"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溶剂储罐区、配料间、污水收集和处理系统、危险废物贮存区、料桶清洗区的防渗要求应参照执行《危险废物贮存污染控制标准》（GB18597-2001）</w:t>
                  </w:r>
                </w:p>
              </w:tc>
              <w:tc>
                <w:tcPr>
                  <w:tcW w:w="2605"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本项目建成后，储罐区、配料间、</w:t>
                  </w:r>
                  <w:r>
                    <w:rPr>
                      <w:rFonts w:hint="default" w:ascii="Times New Roman" w:hAnsi="Times New Roman" w:cs="Times New Roman"/>
                      <w:color w:val="auto"/>
                      <w:highlight w:val="none"/>
                    </w:rPr>
                    <w:t>危险废物贮存区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洗桶区按照</w:t>
                  </w:r>
                  <w:r>
                    <w:rPr>
                      <w:rFonts w:hint="default" w:ascii="Times New Roman" w:hAnsi="Times New Roman" w:cs="Times New Roman"/>
                      <w:color w:val="auto"/>
                      <w:highlight w:val="none"/>
                    </w:rPr>
                    <w:t>防渗要求按照《危险废物贮存污染控制标准》（GB18597-2001）建设</w:t>
                  </w:r>
                </w:p>
              </w:tc>
              <w:tc>
                <w:tcPr>
                  <w:tcW w:w="671"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10"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3269"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输送液体化工原料和水的管道应管廊化和可视化，配备相应的泄漏液收集设施，并便于维护和检修；料桶清洗区应设防雨及地面废水收集设施，清洗水应循环使用，废水送DMF精馏塔处理</w:t>
                  </w:r>
                </w:p>
              </w:tc>
              <w:tc>
                <w:tcPr>
                  <w:tcW w:w="2605"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现有工程液体原料采用桶装，使用叉车输送，</w:t>
                  </w:r>
                  <w:r>
                    <w:rPr>
                      <w:rFonts w:hint="default" w:ascii="Times New Roman" w:hAnsi="Times New Roman" w:cs="Times New Roman"/>
                      <w:color w:val="auto"/>
                      <w:highlight w:val="none"/>
                    </w:rPr>
                    <w:t>污水管采用明管敷设，</w:t>
                  </w:r>
                  <w:r>
                    <w:rPr>
                      <w:rFonts w:hint="default" w:ascii="Times New Roman" w:hAnsi="Times New Roman" w:cs="Times New Roman"/>
                      <w:color w:val="auto"/>
                      <w:highlight w:val="none"/>
                      <w:lang w:val="en-US" w:eastAsia="zh-CN"/>
                    </w:rPr>
                    <w:t>已</w:t>
                  </w:r>
                  <w:r>
                    <w:rPr>
                      <w:rFonts w:hint="default" w:ascii="Times New Roman" w:hAnsi="Times New Roman" w:cs="Times New Roman"/>
                      <w:color w:val="auto"/>
                      <w:highlight w:val="none"/>
                    </w:rPr>
                    <w:t>配备有相应的泄漏液收集设施</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本项目建成后，洗桶</w:t>
                  </w:r>
                  <w:r>
                    <w:rPr>
                      <w:rFonts w:hint="default" w:ascii="Times New Roman" w:hAnsi="Times New Roman" w:cs="Times New Roman"/>
                      <w:color w:val="auto"/>
                      <w:highlight w:val="none"/>
                    </w:rPr>
                    <w:t>区设防雨及地面废水收集设施，</w:t>
                  </w:r>
                  <w:r>
                    <w:rPr>
                      <w:rFonts w:hint="default" w:ascii="Times New Roman" w:hAnsi="Times New Roman" w:cs="Times New Roman"/>
                      <w:color w:val="auto"/>
                      <w:highlight w:val="none"/>
                      <w:lang w:val="en-US" w:eastAsia="zh-CN"/>
                    </w:rPr>
                    <w:t>DMF废液进行精馏处理</w:t>
                  </w:r>
                </w:p>
              </w:tc>
              <w:tc>
                <w:tcPr>
                  <w:tcW w:w="671"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10"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3269"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配料间（包括料桶储藏间）应整体封闭、集气净化，除物料和员工出入口外不得设置其它可开启的门、窗，其通风换气量应符合《采暖通风与空气调节设计规范》（GB50019-2003）要求。盛放含挥发性有机物料的容器必须安装密封盖，不能密封的应加装活动盖和集气罩。粉料投加环节应配备袋式收尘设备</w:t>
                  </w:r>
                </w:p>
              </w:tc>
              <w:tc>
                <w:tcPr>
                  <w:tcW w:w="2605"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本项目建成后，</w:t>
                  </w:r>
                  <w:r>
                    <w:rPr>
                      <w:rFonts w:hint="default" w:ascii="Times New Roman" w:hAnsi="Times New Roman" w:cs="Times New Roman"/>
                      <w:color w:val="auto"/>
                      <w:highlight w:val="none"/>
                    </w:rPr>
                    <w:t>配料间</w:t>
                  </w:r>
                  <w:r>
                    <w:rPr>
                      <w:rFonts w:hint="default" w:ascii="Times New Roman" w:hAnsi="Times New Roman" w:cs="Times New Roman"/>
                      <w:color w:val="auto"/>
                      <w:highlight w:val="none"/>
                      <w:lang w:val="en-US" w:eastAsia="zh-CN"/>
                    </w:rPr>
                    <w:t>拟加强</w:t>
                  </w:r>
                  <w:r>
                    <w:rPr>
                      <w:rFonts w:hint="default" w:ascii="Times New Roman" w:hAnsi="Times New Roman" w:cs="Times New Roman"/>
                      <w:color w:val="auto"/>
                      <w:highlight w:val="none"/>
                    </w:rPr>
                    <w:t>密闭，盛放含挥发性有机物料的容器安装密封盖，不能密封的拟加装活动盖和集气罩。</w:t>
                  </w:r>
                </w:p>
              </w:tc>
              <w:tc>
                <w:tcPr>
                  <w:tcW w:w="671"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10"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7</w:t>
                  </w:r>
                </w:p>
              </w:tc>
              <w:tc>
                <w:tcPr>
                  <w:tcW w:w="3269"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合成革干、湿法生产线及后处理工段应采用包围型收集装置密闭、集气净化，涂覆区域应设置双层废气包围装置。干法生产线DMF工艺废气应采用独立的集气、净化设施，宜采用三段及以上循环喷淋吸收工艺；湿法生产线、后处理工段及配料间DMF废气宜采用两段及以上循环喷淋吸收工艺</w:t>
                  </w:r>
                </w:p>
              </w:tc>
              <w:tc>
                <w:tcPr>
                  <w:tcW w:w="2605"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现有工程生产线及后处理工段已采用密闭收集，涂覆区已设置双层废气包围；废气处理设施均采用三段式填料喷淋塔</w:t>
                  </w:r>
                  <w:r>
                    <w:rPr>
                      <w:rFonts w:hint="default" w:ascii="Times New Roman" w:hAnsi="Times New Roman" w:cs="Times New Roman"/>
                      <w:color w:val="auto"/>
                      <w:highlight w:val="none"/>
                    </w:rPr>
                    <w:t>。</w:t>
                  </w:r>
                </w:p>
              </w:tc>
              <w:tc>
                <w:tcPr>
                  <w:tcW w:w="671"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10"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四</w:t>
                  </w:r>
                </w:p>
              </w:tc>
              <w:tc>
                <w:tcPr>
                  <w:tcW w:w="6545" w:type="dxa"/>
                  <w:gridSpan w:val="3"/>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环境风险防范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10"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3269"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合成革企业应设置完善的雨、污水分流系统，并规范建设事故池和相应的导流设施，配置双回路电源的抽水泵站和便携式发电机，确保事故污染水能顺利排入事故池</w:t>
                  </w:r>
                </w:p>
              </w:tc>
              <w:tc>
                <w:tcPr>
                  <w:tcW w:w="2605"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项目雨、污分流，并规范建设事故池和相应的导流设施，配置</w:t>
                  </w:r>
                  <w:r>
                    <w:rPr>
                      <w:rFonts w:hint="default" w:ascii="Times New Roman" w:hAnsi="Times New Roman" w:cs="Times New Roman"/>
                      <w:color w:val="auto"/>
                      <w:highlight w:val="none"/>
                      <w:lang w:val="en-US" w:eastAsia="zh-CN"/>
                    </w:rPr>
                    <w:t>应急</w:t>
                  </w:r>
                  <w:r>
                    <w:rPr>
                      <w:rFonts w:hint="default" w:ascii="Times New Roman" w:hAnsi="Times New Roman" w:cs="Times New Roman"/>
                      <w:color w:val="auto"/>
                      <w:highlight w:val="none"/>
                    </w:rPr>
                    <w:t>电源，确保事故污染水能顺利排入事故池</w:t>
                  </w:r>
                </w:p>
              </w:tc>
              <w:tc>
                <w:tcPr>
                  <w:tcW w:w="671"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10"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3269"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合成革企业应按有关规定、规范要求编制、评估、备案和实施突发环境事件应急预案，定期进行预案演练，配备足够的应急物资</w:t>
                  </w:r>
                </w:p>
              </w:tc>
              <w:tc>
                <w:tcPr>
                  <w:tcW w:w="2605"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企业已按有关规定、规范要求编制突发环境事件应急预案并向生态环境局备案</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定期进行</w:t>
                  </w:r>
                  <w:r>
                    <w:rPr>
                      <w:rFonts w:hint="default" w:ascii="Times New Roman" w:hAnsi="Times New Roman" w:cs="Times New Roman"/>
                      <w:color w:val="auto"/>
                      <w:highlight w:val="none"/>
                    </w:rPr>
                    <w:t>预案演练，</w:t>
                  </w:r>
                  <w:r>
                    <w:rPr>
                      <w:rFonts w:hint="default" w:ascii="Times New Roman" w:hAnsi="Times New Roman" w:cs="Times New Roman"/>
                      <w:color w:val="auto"/>
                      <w:highlight w:val="none"/>
                      <w:lang w:val="en-US" w:eastAsia="zh-CN"/>
                    </w:rPr>
                    <w:t>已</w:t>
                  </w:r>
                  <w:r>
                    <w:rPr>
                      <w:rFonts w:hint="default" w:ascii="Times New Roman" w:hAnsi="Times New Roman" w:cs="Times New Roman"/>
                      <w:color w:val="auto"/>
                      <w:highlight w:val="none"/>
                    </w:rPr>
                    <w:t>配备应急物资</w:t>
                  </w:r>
                </w:p>
              </w:tc>
              <w:tc>
                <w:tcPr>
                  <w:tcW w:w="671"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10"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五</w:t>
                  </w:r>
                </w:p>
              </w:tc>
              <w:tc>
                <w:tcPr>
                  <w:tcW w:w="6545" w:type="dxa"/>
                  <w:gridSpan w:val="3"/>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环境管理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10"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3269"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新、改或扩建合成革项目应开展环境监理，环境监理报告应作为环境保护行政主管部门进行试生产审查和竣工环保验收的重要依据</w:t>
                  </w:r>
                </w:p>
              </w:tc>
              <w:tc>
                <w:tcPr>
                  <w:tcW w:w="2605"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施工期开展环境监理，并作为竣工环保验收的重要依据</w:t>
                  </w:r>
                </w:p>
              </w:tc>
              <w:tc>
                <w:tcPr>
                  <w:tcW w:w="671"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10"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3269"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合成革企业环保设施运营单位须配备至少2人的环保技术管理专职人员</w:t>
                  </w:r>
                </w:p>
              </w:tc>
              <w:tc>
                <w:tcPr>
                  <w:tcW w:w="2605"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企业已</w:t>
                  </w:r>
                  <w:r>
                    <w:rPr>
                      <w:rFonts w:hint="default" w:ascii="Times New Roman" w:hAnsi="Times New Roman" w:cs="Times New Roman"/>
                      <w:color w:val="auto"/>
                      <w:highlight w:val="none"/>
                    </w:rPr>
                    <w:t>设置环保技术管理专职人员2人</w:t>
                  </w:r>
                </w:p>
              </w:tc>
              <w:tc>
                <w:tcPr>
                  <w:tcW w:w="671" w:type="dxa"/>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bl>
          <w:p>
            <w:pPr>
              <w:pStyle w:val="16"/>
              <w:rPr>
                <w:rFonts w:hint="default" w:ascii="Times New Roman" w:hAnsi="Times New Roman" w:cs="Times New Roman"/>
                <w:color w:val="auto"/>
                <w:highlight w:val="none"/>
              </w:rPr>
            </w:pPr>
          </w:p>
          <w:p>
            <w:pPr>
              <w:pStyle w:val="5"/>
              <w:bidi w:val="0"/>
              <w:rPr>
                <w:rFonts w:hint="default" w:ascii="Times New Roman" w:hAnsi="Times New Roman" w:cs="Times New Roman"/>
                <w:color w:val="auto"/>
                <w:highlight w:val="none"/>
              </w:rPr>
            </w:pPr>
          </w:p>
        </w:tc>
      </w:tr>
    </w:tbl>
    <w:p>
      <w:pPr>
        <w:spacing w:line="360" w:lineRule="auto"/>
        <w:rPr>
          <w:rFonts w:hint="default" w:ascii="Times New Roman" w:hAnsi="Times New Roman" w:eastAsia="黑体" w:cs="Times New Roman"/>
          <w:color w:val="auto"/>
          <w:sz w:val="30"/>
          <w:highlight w:val="none"/>
        </w:rPr>
        <w:sectPr>
          <w:footerReference r:id="rId3" w:type="default"/>
          <w:pgSz w:w="11905" w:h="16838"/>
          <w:pgMar w:top="1417" w:right="1417" w:bottom="1417" w:left="1417" w:header="851" w:footer="1077" w:gutter="0"/>
          <w:pgBorders>
            <w:top w:val="none" w:sz="0" w:space="0"/>
            <w:left w:val="none" w:sz="0" w:space="0"/>
            <w:bottom w:val="none" w:sz="0" w:space="0"/>
            <w:right w:val="none" w:sz="0" w:space="0"/>
          </w:pgBorders>
          <w:pgNumType w:fmt="numberInDash" w:start="1"/>
          <w:cols w:space="0" w:num="1"/>
          <w:docGrid w:linePitch="312" w:charSpace="0"/>
        </w:sectPr>
      </w:pPr>
    </w:p>
    <w:p>
      <w:pPr>
        <w:pStyle w:val="3"/>
        <w:numPr>
          <w:ilvl w:val="0"/>
          <w:numId w:val="3"/>
        </w:numPr>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建设项目工程分析</w:t>
      </w:r>
    </w:p>
    <w:tbl>
      <w:tblPr>
        <w:tblStyle w:val="11"/>
        <w:tblW w:w="92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4"/>
        <w:gridCol w:w="88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424" w:type="dxa"/>
            <w:vAlign w:val="center"/>
          </w:tcPr>
          <w:p>
            <w:pPr>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bookmarkStart w:id="3" w:name="_Hlk86096164"/>
            <w:r>
              <w:rPr>
                <w:rFonts w:hint="default" w:ascii="Times New Roman" w:hAnsi="Times New Roman" w:cs="Times New Roman"/>
                <w:color w:val="auto"/>
                <w:sz w:val="21"/>
                <w:szCs w:val="21"/>
                <w:highlight w:val="none"/>
              </w:rPr>
              <w:t>建设内容</w:t>
            </w:r>
          </w:p>
        </w:tc>
        <w:tc>
          <w:tcPr>
            <w:tcW w:w="8863" w:type="dxa"/>
          </w:tcPr>
          <w:p>
            <w:pPr>
              <w:pStyle w:val="2"/>
              <w:numPr>
                <w:ilvl w:val="1"/>
                <w:numId w:val="3"/>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项目由来</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福建瑞峰革业有限公司成立于2006年12月，位于福鼎市文渡项目区，是一家专业从事PU革深加工产品生产和销售的企业。</w:t>
            </w:r>
            <w:r>
              <w:rPr>
                <w:rFonts w:hint="default" w:ascii="Times New Roman" w:hAnsi="Times New Roman" w:cs="Times New Roman"/>
                <w:color w:val="auto"/>
                <w:highlight w:val="none"/>
                <w:lang w:val="en-US" w:eastAsia="zh-CN"/>
              </w:rPr>
              <w:t>2008年11月委托编制</w:t>
            </w:r>
            <w:r>
              <w:rPr>
                <w:rFonts w:hint="default" w:ascii="Times New Roman" w:hAnsi="Times New Roman" w:cs="Times New Roman"/>
                <w:color w:val="auto"/>
                <w:highlight w:val="none"/>
              </w:rPr>
              <w:t>年产400万米PU革深加工项目环境影响报告表</w:t>
            </w:r>
            <w:r>
              <w:rPr>
                <w:rFonts w:hint="default" w:ascii="Times New Roman" w:hAnsi="Times New Roman" w:cs="Times New Roman"/>
                <w:color w:val="auto"/>
                <w:highlight w:val="none"/>
                <w:lang w:val="en-US" w:eastAsia="zh-CN"/>
              </w:rPr>
              <w:t>并</w:t>
            </w:r>
            <w:r>
              <w:rPr>
                <w:rFonts w:hint="default" w:ascii="Times New Roman" w:hAnsi="Times New Roman" w:cs="Times New Roman"/>
                <w:color w:val="auto"/>
                <w:highlight w:val="none"/>
              </w:rPr>
              <w:t>通过原福鼎市环境保护局审批（鼎环审[2008]078），审批生产规模为年产400万米PU革深加工产品，设置</w:t>
            </w:r>
            <w:r>
              <w:rPr>
                <w:rFonts w:hint="default" w:ascii="Times New Roman" w:hAnsi="Times New Roman" w:cs="Times New Roman"/>
                <w:color w:val="auto"/>
                <w:highlight w:val="none"/>
                <w:lang w:val="en-US" w:eastAsia="zh-CN"/>
              </w:rPr>
              <w:t>涂布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印花喷涂机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滚涂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三版印刷机等设备。2010年8月投入试生产，2012年12月通过原福鼎市环境保护局验收（鼎环验[2012]22号），验收生产规模与原环评审批一致，为年产400万米PU革深加工产品。</w:t>
            </w:r>
            <w:r>
              <w:rPr>
                <w:rFonts w:hint="default" w:ascii="Times New Roman" w:hAnsi="Times New Roman" w:cs="Times New Roman"/>
                <w:color w:val="auto"/>
                <w:highlight w:val="none"/>
                <w:lang w:val="en-US" w:eastAsia="zh-CN"/>
              </w:rPr>
              <w:t>2020年，因企业实际产生的环境影响和污染防治与环评及验收相比产生了一定变化，建设单位委托漳州简诚环保工程有限公司进行后评价，并于同年9月通过专家评审。</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福建瑞峰革业有限公司</w:t>
            </w:r>
            <w:r>
              <w:rPr>
                <w:rFonts w:hint="default" w:ascii="Times New Roman" w:hAnsi="Times New Roman" w:cs="Times New Roman"/>
                <w:color w:val="auto"/>
                <w:highlight w:val="none"/>
                <w:lang w:val="en-US" w:eastAsia="zh-CN"/>
              </w:rPr>
              <w:t>厂内目前未</w:t>
            </w:r>
            <w:r>
              <w:rPr>
                <w:rFonts w:hint="default" w:ascii="Times New Roman" w:hAnsi="Times New Roman" w:cs="Times New Roman"/>
                <w:color w:val="auto"/>
                <w:highlight w:val="none"/>
              </w:rPr>
              <w:t>配备DMF</w:t>
            </w:r>
            <w:r>
              <w:rPr>
                <w:rFonts w:hint="default" w:ascii="Times New Roman" w:hAnsi="Times New Roman" w:cs="Times New Roman"/>
                <w:color w:val="auto"/>
                <w:highlight w:val="none"/>
                <w:lang w:val="en-US" w:eastAsia="zh-CN"/>
              </w:rPr>
              <w:t>回收</w:t>
            </w:r>
            <w:r>
              <w:rPr>
                <w:rFonts w:hint="default" w:ascii="Times New Roman" w:hAnsi="Times New Roman" w:cs="Times New Roman"/>
                <w:color w:val="auto"/>
                <w:highlight w:val="none"/>
              </w:rPr>
              <w:t>精馏装置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生产废水收集后暂存于</w:t>
            </w:r>
            <w:r>
              <w:rPr>
                <w:rFonts w:hint="default" w:ascii="Times New Roman" w:hAnsi="Times New Roman" w:cs="Times New Roman"/>
                <w:color w:val="auto"/>
                <w:highlight w:val="none"/>
                <w:lang w:val="en-US" w:eastAsia="zh-CN"/>
              </w:rPr>
              <w:t>DMF</w:t>
            </w:r>
            <w:r>
              <w:rPr>
                <w:rFonts w:hint="default" w:ascii="Times New Roman" w:hAnsi="Times New Roman" w:cs="Times New Roman"/>
                <w:color w:val="auto"/>
                <w:highlight w:val="none"/>
              </w:rPr>
              <w:t>废水储罐内，定期委托</w:t>
            </w:r>
            <w:r>
              <w:rPr>
                <w:rFonts w:hint="default" w:ascii="Times New Roman" w:hAnsi="Times New Roman" w:cs="Times New Roman"/>
                <w:color w:val="auto"/>
                <w:highlight w:val="none"/>
                <w:lang w:eastAsia="zh-CN"/>
              </w:rPr>
              <w:t>福建大成皮业有限公司</w:t>
            </w:r>
            <w:r>
              <w:rPr>
                <w:rFonts w:hint="default" w:ascii="Times New Roman" w:hAnsi="Times New Roman" w:cs="Times New Roman"/>
                <w:color w:val="auto"/>
                <w:highlight w:val="none"/>
              </w:rPr>
              <w:t>处</w:t>
            </w:r>
            <w:r>
              <w:rPr>
                <w:rFonts w:hint="default" w:ascii="Times New Roman" w:hAnsi="Times New Roman" w:cs="Times New Roman"/>
                <w:color w:val="auto"/>
                <w:highlight w:val="none"/>
                <w:lang w:val="en-US" w:eastAsia="zh-CN"/>
              </w:rPr>
              <w:t>置。为加强DMF废液的综合利用，节约成本，建设单位综合考虑，建设DMF废液回收处理技改项目，在现有厂区空地上新增蒸汽尾水低温蒸馏DMF废液回收处理设备，对福建瑞峰革业有限公司厂内PU合成革生产线产生的DMF废液进行回收处理，不对外收集、加工危险废物，</w:t>
            </w:r>
            <w:r>
              <w:rPr>
                <w:rFonts w:hint="default" w:ascii="Times New Roman" w:hAnsi="Times New Roman" w:eastAsia="宋体" w:cs="Times New Roman"/>
                <w:color w:val="auto"/>
                <w:sz w:val="24"/>
                <w:highlight w:val="none"/>
                <w:lang w:val="en-US" w:eastAsia="zh-CN"/>
              </w:rPr>
              <w:t>并</w:t>
            </w:r>
            <w:r>
              <w:rPr>
                <w:rFonts w:hint="default" w:ascii="Times New Roman" w:hAnsi="Times New Roman" w:cs="Times New Roman"/>
                <w:color w:val="auto"/>
                <w:sz w:val="24"/>
                <w:highlight w:val="none"/>
              </w:rPr>
              <w:t>取得了福鼎市工业和信息化局出具的《福建省投资项目备案证明（内资）》（闽工信备[202</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]J0300</w:t>
            </w:r>
            <w:r>
              <w:rPr>
                <w:rFonts w:hint="default" w:ascii="Times New Roman" w:hAnsi="Times New Roman" w:cs="Times New Roman"/>
                <w:color w:val="auto"/>
                <w:sz w:val="24"/>
                <w:highlight w:val="none"/>
                <w:lang w:val="en-US" w:eastAsia="zh-CN"/>
              </w:rPr>
              <w:t>27</w:t>
            </w:r>
            <w:r>
              <w:rPr>
                <w:rFonts w:hint="default" w:ascii="Times New Roman" w:hAnsi="Times New Roman" w:cs="Times New Roman"/>
                <w:color w:val="auto"/>
                <w:sz w:val="24"/>
                <w:highlight w:val="none"/>
              </w:rPr>
              <w:t>号</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年处理规模为8300吨</w:t>
            </w:r>
            <w:r>
              <w:rPr>
                <w:rFonts w:hint="default" w:ascii="Times New Roman" w:hAnsi="Times New Roman" w:cs="Times New Roman"/>
                <w:color w:val="auto"/>
                <w:sz w:val="24"/>
                <w:highlight w:val="none"/>
                <w:lang w:eastAsia="zh-CN"/>
              </w:rPr>
              <w:t>。</w:t>
            </w:r>
          </w:p>
          <w:p>
            <w:pPr>
              <w:pStyle w:val="5"/>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根据《中华人民共和国环境影响评价法》(2018年12月29日修订</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、《建设项目环境影响评价分类管理名录》(2021)，该建设项目属于“</w:t>
            </w:r>
            <w:r>
              <w:rPr>
                <w:rFonts w:hint="default" w:ascii="Times New Roman" w:hAnsi="Times New Roman" w:cs="Times New Roman"/>
                <w:color w:val="auto"/>
                <w:highlight w:val="none"/>
                <w:lang w:val="en-US" w:eastAsia="zh-CN"/>
              </w:rPr>
              <w:t>四</w:t>
            </w:r>
            <w:r>
              <w:rPr>
                <w:rFonts w:hint="default" w:ascii="Times New Roman" w:hAnsi="Times New Roman" w:cs="Times New Roman"/>
                <w:color w:val="auto"/>
                <w:highlight w:val="none"/>
              </w:rPr>
              <w:t>十</w:t>
            </w:r>
            <w:r>
              <w:rPr>
                <w:rFonts w:hint="default" w:ascii="Times New Roman" w:hAnsi="Times New Roman" w:cs="Times New Roman"/>
                <w:color w:val="auto"/>
                <w:highlight w:val="none"/>
                <w:lang w:val="en-US" w:eastAsia="zh-CN"/>
              </w:rPr>
              <w:t>七</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生态保护和环境治理</w:t>
            </w:r>
            <w:r>
              <w:rPr>
                <w:rFonts w:hint="default" w:ascii="Times New Roman" w:hAnsi="Times New Roman" w:cs="Times New Roman"/>
                <w:color w:val="auto"/>
                <w:highlight w:val="none"/>
              </w:rPr>
              <w:t>业”中“</w:t>
            </w:r>
            <w:r>
              <w:rPr>
                <w:rFonts w:hint="default" w:ascii="Times New Roman" w:hAnsi="Times New Roman" w:cs="Times New Roman"/>
                <w:color w:val="auto"/>
                <w:highlight w:val="none"/>
                <w:lang w:val="en-US" w:eastAsia="zh-CN"/>
              </w:rPr>
              <w:t>101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危险废物（不含医疗废物）利用及处置</w:t>
            </w:r>
            <w:r>
              <w:rPr>
                <w:rFonts w:hint="default" w:ascii="Times New Roman" w:hAnsi="Times New Roman" w:cs="Times New Roman"/>
                <w:color w:val="auto"/>
                <w:highlight w:val="none"/>
              </w:rPr>
              <w:t>”中“其他”项目，应编制环境影响报告表。2022年</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月福建瑞峰革业有限公司委托福建省闽创环保科技有限公司对</w:t>
            </w:r>
            <w:r>
              <w:rPr>
                <w:rFonts w:hint="default" w:ascii="Times New Roman" w:hAnsi="Times New Roman" w:cs="Times New Roman"/>
                <w:color w:val="auto"/>
                <w:highlight w:val="none"/>
                <w:lang w:val="en-US" w:eastAsia="zh-CN"/>
              </w:rPr>
              <w:t>该建设</w:t>
            </w:r>
            <w:r>
              <w:rPr>
                <w:rFonts w:hint="default" w:ascii="Times New Roman" w:hAnsi="Times New Roman" w:cs="Times New Roman"/>
                <w:color w:val="auto"/>
                <w:highlight w:val="none"/>
              </w:rPr>
              <w:t>项目进行环境影响评价（委托书详见附件1）</w:t>
            </w:r>
            <w:r>
              <w:rPr>
                <w:rFonts w:hint="default" w:ascii="Times New Roman" w:hAnsi="Times New Roman" w:cs="Times New Roman"/>
                <w:color w:val="auto"/>
                <w:highlight w:val="none"/>
                <w:lang w:eastAsia="zh-CN"/>
              </w:rPr>
              <w:t>。</w:t>
            </w:r>
          </w:p>
          <w:p>
            <w:pPr>
              <w:pStyle w:val="2"/>
              <w:numPr>
                <w:ilvl w:val="1"/>
                <w:numId w:val="3"/>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项目概况</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项目名称：</w:t>
            </w:r>
            <w:r>
              <w:rPr>
                <w:rFonts w:hint="default" w:ascii="Times New Roman" w:hAnsi="Times New Roman" w:cs="Times New Roman"/>
                <w:color w:val="auto"/>
                <w:highlight w:val="none"/>
                <w:lang w:val="en-US" w:eastAsia="zh-CN"/>
              </w:rPr>
              <w:t>福建瑞峰革业有限公司含DMF废液回收处理技改</w:t>
            </w:r>
            <w:r>
              <w:rPr>
                <w:rFonts w:hint="default" w:ascii="Times New Roman" w:hAnsi="Times New Roman" w:cs="Times New Roman"/>
                <w:color w:val="auto"/>
                <w:highlight w:val="none"/>
              </w:rPr>
              <w:t>项目</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w:t>
            </w:r>
            <w:r>
              <w:rPr>
                <w:rFonts w:hint="default" w:ascii="Times New Roman" w:hAnsi="Times New Roman" w:cs="Times New Roman"/>
                <w:color w:val="auto"/>
                <w:highlight w:val="none"/>
                <w:lang w:val="en-US" w:eastAsia="zh-CN"/>
              </w:rPr>
              <w:t>福建瑞峰革业有限公司</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建设地点：福鼎市温州园文渡工业区金潮路</w:t>
            </w:r>
            <w:r>
              <w:rPr>
                <w:rFonts w:hint="default" w:ascii="Times New Roman" w:hAnsi="Times New Roman" w:cs="Times New Roman"/>
                <w:color w:val="auto"/>
                <w:highlight w:val="none"/>
                <w:lang w:val="en-US" w:eastAsia="zh-CN"/>
              </w:rPr>
              <w:t>16</w:t>
            </w:r>
            <w:r>
              <w:rPr>
                <w:rFonts w:hint="default" w:ascii="Times New Roman" w:hAnsi="Times New Roman" w:cs="Times New Roman"/>
                <w:color w:val="auto"/>
                <w:highlight w:val="none"/>
              </w:rPr>
              <w:t>号</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项目投资：总投资200万元；</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职工人数：</w:t>
            </w:r>
            <w:r>
              <w:rPr>
                <w:rFonts w:hint="default" w:ascii="Times New Roman" w:hAnsi="Times New Roman" w:cs="Times New Roman"/>
                <w:color w:val="auto"/>
                <w:highlight w:val="none"/>
                <w:lang w:val="en-US" w:eastAsia="zh-CN"/>
              </w:rPr>
              <w:t>未新增职工，</w:t>
            </w:r>
            <w:r>
              <w:rPr>
                <w:rFonts w:hint="default" w:ascii="Times New Roman" w:hAnsi="Times New Roman" w:cs="Times New Roman"/>
                <w:color w:val="auto"/>
                <w:highlight w:val="none"/>
              </w:rPr>
              <w:t>共</w:t>
            </w:r>
            <w:r>
              <w:rPr>
                <w:rFonts w:hint="default" w:ascii="Times New Roman" w:hAnsi="Times New Roman" w:cs="Times New Roman"/>
                <w:color w:val="auto"/>
                <w:highlight w:val="none"/>
                <w:lang w:val="en-US" w:eastAsia="zh-CN"/>
              </w:rPr>
              <w:t>120</w:t>
            </w:r>
            <w:r>
              <w:rPr>
                <w:rFonts w:hint="default" w:ascii="Times New Roman" w:hAnsi="Times New Roman" w:cs="Times New Roman"/>
                <w:color w:val="auto"/>
                <w:highlight w:val="none"/>
              </w:rPr>
              <w:t>人，均不在厂内食宿；</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工作制度：年生产300天，</w:t>
            </w:r>
            <w:r>
              <w:rPr>
                <w:rFonts w:hint="default" w:ascii="Times New Roman" w:hAnsi="Times New Roman" w:cs="Times New Roman"/>
                <w:color w:val="auto"/>
                <w:highlight w:val="none"/>
                <w:lang w:val="en-US" w:eastAsia="zh-CN"/>
              </w:rPr>
              <w:t>三</w:t>
            </w:r>
            <w:r>
              <w:rPr>
                <w:rFonts w:hint="default" w:ascii="Times New Roman" w:hAnsi="Times New Roman" w:cs="Times New Roman"/>
                <w:color w:val="auto"/>
                <w:highlight w:val="none"/>
              </w:rPr>
              <w:t>班制，每班生产8h；</w:t>
            </w:r>
          </w:p>
          <w:p>
            <w:pPr>
              <w:pStyle w:val="5"/>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建设内容及规模：</w:t>
            </w:r>
            <w:r>
              <w:rPr>
                <w:rFonts w:hint="default" w:ascii="Times New Roman" w:hAnsi="Times New Roman" w:cs="Times New Roman"/>
                <w:color w:val="auto"/>
                <w:highlight w:val="none"/>
                <w:lang w:val="en-US" w:eastAsia="zh-CN"/>
              </w:rPr>
              <w:t>新增蒸汽尾水低温蒸馏DMF废液回收处理设备，年处理8300吨DMF废液</w:t>
            </w:r>
            <w:r>
              <w:rPr>
                <w:rFonts w:hint="default" w:ascii="Times New Roman" w:hAnsi="Times New Roman" w:cs="Times New Roman"/>
                <w:color w:val="auto"/>
                <w:highlight w:val="none"/>
              </w:rPr>
              <w:t>。</w:t>
            </w:r>
          </w:p>
          <w:p>
            <w:pPr>
              <w:pStyle w:val="2"/>
              <w:numPr>
                <w:ilvl w:val="1"/>
                <w:numId w:val="3"/>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项目建设内容</w:t>
            </w:r>
            <w:r>
              <w:rPr>
                <w:rFonts w:hint="default" w:ascii="Times New Roman" w:hAnsi="Times New Roman" w:cs="Times New Roman"/>
                <w:color w:val="auto"/>
                <w:highlight w:val="none"/>
              </w:rPr>
              <w:drawing>
                <wp:inline distT="0" distB="0" distL="114300" distR="114300">
                  <wp:extent cx="635" cy="0"/>
                  <wp:effectExtent l="0" t="0" r="0" b="0"/>
                  <wp:docPr id="16" name="图片 15" descr="C:/Users/Dell/AppData/Local/Temp/picturecompress_20220307141540/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C:/Users/Dell/AppData/Local/Temp/picturecompress_20220307141540/output_4.jpgoutput_4"/>
                          <pic:cNvPicPr>
                            <a:picLocks noChangeAspect="1"/>
                          </pic:cNvPicPr>
                        </pic:nvPicPr>
                        <pic:blipFill>
                          <a:blip r:embed="rId9"/>
                          <a:stretch>
                            <a:fillRect/>
                          </a:stretch>
                        </pic:blipFill>
                        <pic:spPr>
                          <a:xfrm>
                            <a:off x="0" y="0"/>
                            <a:ext cx="635" cy="0"/>
                          </a:xfrm>
                          <a:prstGeom prst="rect">
                            <a:avLst/>
                          </a:prstGeom>
                          <a:noFill/>
                          <a:ln>
                            <a:noFill/>
                          </a:ln>
                        </pic:spPr>
                      </pic:pic>
                    </a:graphicData>
                  </a:graphic>
                </wp:inline>
              </w:drawing>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本项目建设内容主要包括</w:t>
            </w:r>
            <w:r>
              <w:rPr>
                <w:rFonts w:hint="default" w:ascii="Times New Roman" w:hAnsi="Times New Roman" w:cs="Times New Roman"/>
                <w:color w:val="auto"/>
                <w:highlight w:val="none"/>
                <w:lang w:val="en-US" w:eastAsia="zh-CN"/>
              </w:rPr>
              <w:t>低温蒸馏DMF废液回收处理</w:t>
            </w:r>
            <w:r>
              <w:rPr>
                <w:rFonts w:hint="default" w:ascii="Times New Roman" w:hAnsi="Times New Roman" w:cs="Times New Roman"/>
                <w:color w:val="auto"/>
                <w:highlight w:val="none"/>
              </w:rPr>
              <w:t>设备安装、环保工程。</w:t>
            </w: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在</w:t>
            </w:r>
            <w:r>
              <w:rPr>
                <w:rFonts w:hint="default" w:ascii="Times New Roman" w:hAnsi="Times New Roman" w:cs="Times New Roman"/>
                <w:color w:val="auto"/>
                <w:highlight w:val="none"/>
                <w:lang w:val="en-US" w:eastAsia="zh-CN"/>
              </w:rPr>
              <w:t>现有</w:t>
            </w:r>
            <w:r>
              <w:rPr>
                <w:rFonts w:hint="default" w:ascii="Times New Roman" w:hAnsi="Times New Roman" w:cs="Times New Roman"/>
                <w:color w:val="auto"/>
                <w:highlight w:val="none"/>
              </w:rPr>
              <w:t>厂区</w:t>
            </w:r>
            <w:r>
              <w:rPr>
                <w:rFonts w:hint="default" w:ascii="Times New Roman" w:hAnsi="Times New Roman" w:cs="Times New Roman"/>
                <w:color w:val="auto"/>
                <w:highlight w:val="none"/>
                <w:lang w:val="en-US" w:eastAsia="zh-CN"/>
              </w:rPr>
              <w:t>空地建设</w:t>
            </w:r>
            <w:r>
              <w:rPr>
                <w:rFonts w:hint="default" w:ascii="Times New Roman" w:hAnsi="Times New Roman" w:cs="Times New Roman"/>
                <w:color w:val="auto"/>
                <w:highlight w:val="none"/>
              </w:rPr>
              <w:t>，工程组成见下表。</w:t>
            </w:r>
          </w:p>
          <w:p>
            <w:pPr>
              <w:pStyle w:val="1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项目工程组成及主要建设内容一览表</w:t>
            </w:r>
          </w:p>
          <w:tbl>
            <w:tblPr>
              <w:tblStyle w:val="12"/>
              <w:tblW w:w="8645"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553"/>
              <w:gridCol w:w="4330"/>
              <w:gridCol w:w="208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gridSpan w:val="2"/>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项目组成</w:t>
                  </w:r>
                </w:p>
              </w:tc>
              <w:tc>
                <w:tcPr>
                  <w:tcW w:w="4330" w:type="dxa"/>
                  <w:tcBorders>
                    <w:tl2br w:val="nil"/>
                    <w:tr2bl w:val="nil"/>
                  </w:tcBorders>
                  <w:vAlign w:val="center"/>
                </w:tcPr>
                <w:p>
                  <w:pPr>
                    <w:pStyle w:val="16"/>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本次工程建设内容</w:t>
                  </w:r>
                </w:p>
              </w:tc>
              <w:tc>
                <w:tcPr>
                  <w:tcW w:w="2084" w:type="dxa"/>
                  <w:tcBorders>
                    <w:tl2br w:val="nil"/>
                    <w:tr2bl w:val="nil"/>
                  </w:tcBorders>
                  <w:vAlign w:val="center"/>
                </w:tcPr>
                <w:p>
                  <w:pPr>
                    <w:pStyle w:val="16"/>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主体工程</w:t>
                  </w:r>
                </w:p>
              </w:tc>
              <w:tc>
                <w:tcPr>
                  <w:tcW w:w="1553"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DMF废液处理系统</w:t>
                  </w:r>
                </w:p>
              </w:tc>
              <w:tc>
                <w:tcPr>
                  <w:tcW w:w="4330"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新增蒸汽尾水低温蒸馏DMF废液回收处理设备2套，将DMF回用于生产线，处理规模为8300t/a</w:t>
                  </w:r>
                </w:p>
              </w:tc>
              <w:tc>
                <w:tcPr>
                  <w:tcW w:w="2084"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新增，厂内PU合成革生产规模无变化</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gridSpan w:val="2"/>
                  <w:tcBorders>
                    <w:tl2br w:val="nil"/>
                    <w:tr2bl w:val="nil"/>
                  </w:tcBorders>
                  <w:vAlign w:val="center"/>
                </w:tcPr>
                <w:p>
                  <w:pPr>
                    <w:pStyle w:val="16"/>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总平面布置</w:t>
                  </w:r>
                </w:p>
              </w:tc>
              <w:tc>
                <w:tcPr>
                  <w:tcW w:w="4330"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于2#和3#喷淋塔旁空地新增DMF废液回收处理设备各1套，共2套</w:t>
                  </w:r>
                </w:p>
              </w:tc>
              <w:tc>
                <w:tcPr>
                  <w:tcW w:w="2084"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其余建构筑物、设备总平面布置不变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Merge w:val="restart"/>
                  <w:tcBorders>
                    <w:tl2br w:val="nil"/>
                    <w:tr2bl w:val="nil"/>
                  </w:tcBorders>
                  <w:vAlign w:val="center"/>
                </w:tcPr>
                <w:p>
                  <w:pPr>
                    <w:pStyle w:val="16"/>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辅助工程</w:t>
                  </w:r>
                </w:p>
              </w:tc>
              <w:tc>
                <w:tcPr>
                  <w:tcW w:w="1553"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办公区</w:t>
                  </w:r>
                </w:p>
              </w:tc>
              <w:tc>
                <w:tcPr>
                  <w:tcW w:w="4330"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依托现有办公楼</w:t>
                  </w:r>
                </w:p>
              </w:tc>
              <w:tc>
                <w:tcPr>
                  <w:tcW w:w="2084"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依托现有办公楼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Merge w:val="continue"/>
                  <w:tcBorders>
                    <w:tl2br w:val="nil"/>
                    <w:tr2bl w:val="nil"/>
                  </w:tcBorders>
                  <w:vAlign w:val="center"/>
                </w:tcPr>
                <w:p>
                  <w:pPr>
                    <w:pStyle w:val="16"/>
                    <w:ind w:left="0" w:leftChars="0" w:firstLine="0" w:firstLineChars="0"/>
                    <w:jc w:val="center"/>
                    <w:rPr>
                      <w:rFonts w:hint="default" w:ascii="Times New Roman" w:hAnsi="Times New Roman" w:cs="Times New Roman"/>
                      <w:color w:val="auto"/>
                      <w:sz w:val="21"/>
                      <w:szCs w:val="21"/>
                      <w:highlight w:val="none"/>
                      <w:lang w:val="en-US" w:eastAsia="zh-CN"/>
                    </w:rPr>
                  </w:pPr>
                </w:p>
              </w:tc>
              <w:tc>
                <w:tcPr>
                  <w:tcW w:w="1553"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循环冷却水池</w:t>
                  </w:r>
                </w:p>
              </w:tc>
              <w:tc>
                <w:tcPr>
                  <w:tcW w:w="4330"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依托现有工程冷却水池（200m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w:t>
                  </w:r>
                </w:p>
              </w:tc>
              <w:tc>
                <w:tcPr>
                  <w:tcW w:w="2084"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依托现有工程</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Merge w:val="continue"/>
                  <w:tcBorders>
                    <w:tl2br w:val="nil"/>
                    <w:tr2bl w:val="nil"/>
                  </w:tcBorders>
                  <w:vAlign w:val="center"/>
                </w:tcPr>
                <w:p>
                  <w:pPr>
                    <w:pStyle w:val="16"/>
                    <w:ind w:left="0" w:leftChars="0" w:firstLine="0" w:firstLineChars="0"/>
                    <w:jc w:val="center"/>
                    <w:rPr>
                      <w:rFonts w:hint="default" w:ascii="Times New Roman" w:hAnsi="Times New Roman" w:cs="Times New Roman"/>
                      <w:color w:val="auto"/>
                      <w:sz w:val="21"/>
                      <w:szCs w:val="21"/>
                      <w:highlight w:val="none"/>
                      <w:lang w:val="en-US" w:eastAsia="zh-CN"/>
                    </w:rPr>
                  </w:pPr>
                </w:p>
              </w:tc>
              <w:tc>
                <w:tcPr>
                  <w:tcW w:w="1553" w:type="dxa"/>
                  <w:vMerge w:val="restart"/>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储罐区</w:t>
                  </w:r>
                </w:p>
              </w:tc>
              <w:tc>
                <w:tcPr>
                  <w:tcW w:w="4330"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DMF储罐：30t</w:t>
                  </w:r>
                  <w:r>
                    <w:rPr>
                      <w:rFonts w:hint="default" w:ascii="Times New Roman" w:hAnsi="Times New Roman" w:cs="Times New Roman"/>
                      <w:color w:val="auto"/>
                      <w:sz w:val="21"/>
                      <w:szCs w:val="21"/>
                      <w:highlight w:val="none"/>
                    </w:rPr>
                    <w:t>×2个</w:t>
                  </w:r>
                </w:p>
              </w:tc>
              <w:tc>
                <w:tcPr>
                  <w:tcW w:w="2084" w:type="dxa"/>
                  <w:vMerge w:val="restart"/>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依托现有工程</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Merge w:val="continue"/>
                  <w:tcBorders>
                    <w:tl2br w:val="nil"/>
                    <w:tr2bl w:val="nil"/>
                  </w:tcBorders>
                  <w:vAlign w:val="center"/>
                </w:tcPr>
                <w:p>
                  <w:pPr>
                    <w:pStyle w:val="16"/>
                    <w:ind w:left="0" w:leftChars="0" w:firstLine="0" w:firstLineChars="0"/>
                    <w:jc w:val="center"/>
                    <w:rPr>
                      <w:rFonts w:hint="default" w:ascii="Times New Roman" w:hAnsi="Times New Roman" w:cs="Times New Roman"/>
                      <w:color w:val="auto"/>
                      <w:sz w:val="21"/>
                      <w:szCs w:val="21"/>
                      <w:highlight w:val="none"/>
                      <w:lang w:val="en-US" w:eastAsia="zh-CN"/>
                    </w:rPr>
                  </w:pPr>
                </w:p>
              </w:tc>
              <w:tc>
                <w:tcPr>
                  <w:tcW w:w="1553" w:type="dxa"/>
                  <w:vMerge w:val="continue"/>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p>
              </w:tc>
              <w:tc>
                <w:tcPr>
                  <w:tcW w:w="4330"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清水储罐：300t</w:t>
                  </w:r>
                  <w:r>
                    <w:rPr>
                      <w:rFonts w:hint="default" w:ascii="Times New Roman" w:hAnsi="Times New Roman" w:cs="Times New Roman"/>
                      <w:color w:val="auto"/>
                      <w:sz w:val="21"/>
                      <w:szCs w:val="21"/>
                      <w:highlight w:val="none"/>
                    </w:rPr>
                    <w:t>×2个</w:t>
                  </w:r>
                </w:p>
              </w:tc>
              <w:tc>
                <w:tcPr>
                  <w:tcW w:w="2084" w:type="dxa"/>
                  <w:vMerge w:val="continue"/>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Merge w:val="continue"/>
                  <w:tcBorders>
                    <w:tl2br w:val="nil"/>
                    <w:tr2bl w:val="nil"/>
                  </w:tcBorders>
                  <w:vAlign w:val="center"/>
                </w:tcPr>
                <w:p>
                  <w:pPr>
                    <w:pStyle w:val="16"/>
                    <w:ind w:left="0" w:leftChars="0" w:firstLine="0" w:firstLineChars="0"/>
                    <w:jc w:val="center"/>
                    <w:rPr>
                      <w:rFonts w:hint="default" w:ascii="Times New Roman" w:hAnsi="Times New Roman" w:cs="Times New Roman"/>
                      <w:color w:val="auto"/>
                      <w:sz w:val="21"/>
                      <w:szCs w:val="21"/>
                      <w:highlight w:val="none"/>
                      <w:lang w:val="en-US" w:eastAsia="zh-CN"/>
                    </w:rPr>
                  </w:pPr>
                </w:p>
              </w:tc>
              <w:tc>
                <w:tcPr>
                  <w:tcW w:w="1553" w:type="dxa"/>
                  <w:vMerge w:val="continue"/>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p>
              </w:tc>
              <w:tc>
                <w:tcPr>
                  <w:tcW w:w="4330"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DMF</w:t>
                  </w:r>
                  <w:r>
                    <w:rPr>
                      <w:rFonts w:hint="default" w:ascii="Times New Roman" w:hAnsi="Times New Roman" w:cs="Times New Roman"/>
                      <w:color w:val="auto"/>
                      <w:sz w:val="21"/>
                      <w:szCs w:val="21"/>
                      <w:highlight w:val="none"/>
                    </w:rPr>
                    <w:t>废水</w:t>
                  </w:r>
                  <w:r>
                    <w:rPr>
                      <w:rFonts w:hint="default" w:ascii="Times New Roman" w:hAnsi="Times New Roman" w:cs="Times New Roman"/>
                      <w:color w:val="auto"/>
                      <w:sz w:val="21"/>
                      <w:szCs w:val="21"/>
                      <w:highlight w:val="none"/>
                      <w:lang w:val="en-US" w:eastAsia="zh-CN"/>
                    </w:rPr>
                    <w:t>储</w:t>
                  </w:r>
                  <w:r>
                    <w:rPr>
                      <w:rFonts w:hint="default" w:ascii="Times New Roman" w:hAnsi="Times New Roman" w:cs="Times New Roman"/>
                      <w:color w:val="auto"/>
                      <w:sz w:val="21"/>
                      <w:szCs w:val="21"/>
                      <w:highlight w:val="none"/>
                    </w:rPr>
                    <w:t>罐：150t ×2个</w:t>
                  </w:r>
                </w:p>
              </w:tc>
              <w:tc>
                <w:tcPr>
                  <w:tcW w:w="2084" w:type="dxa"/>
                  <w:vMerge w:val="continue"/>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Merge w:val="continue"/>
                  <w:tcBorders>
                    <w:tl2br w:val="nil"/>
                    <w:tr2bl w:val="nil"/>
                  </w:tcBorders>
                  <w:vAlign w:val="center"/>
                </w:tcPr>
                <w:p>
                  <w:pPr>
                    <w:pStyle w:val="16"/>
                    <w:ind w:left="0" w:leftChars="0" w:firstLine="0" w:firstLineChars="0"/>
                    <w:jc w:val="center"/>
                    <w:rPr>
                      <w:rFonts w:hint="default" w:ascii="Times New Roman" w:hAnsi="Times New Roman" w:cs="Times New Roman"/>
                      <w:color w:val="auto"/>
                      <w:sz w:val="21"/>
                      <w:szCs w:val="21"/>
                      <w:highlight w:val="none"/>
                      <w:lang w:val="en-US" w:eastAsia="zh-CN"/>
                    </w:rPr>
                  </w:pPr>
                </w:p>
              </w:tc>
              <w:tc>
                <w:tcPr>
                  <w:tcW w:w="1553" w:type="dxa"/>
                  <w:vMerge w:val="continue"/>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p>
              </w:tc>
              <w:tc>
                <w:tcPr>
                  <w:tcW w:w="4330" w:type="dxa"/>
                  <w:tcBorders>
                    <w:tl2br w:val="nil"/>
                    <w:tr2bl w:val="nil"/>
                  </w:tcBorders>
                  <w:vAlign w:val="center"/>
                </w:tcPr>
                <w:p>
                  <w:pPr>
                    <w:pStyle w:val="16"/>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回用水储罐：50t</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1个</w:t>
                  </w:r>
                </w:p>
              </w:tc>
              <w:tc>
                <w:tcPr>
                  <w:tcW w:w="2084"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本次新增</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Merge w:val="restart"/>
                  <w:tcBorders>
                    <w:tl2br w:val="nil"/>
                    <w:tr2bl w:val="nil"/>
                  </w:tcBorders>
                  <w:vAlign w:val="center"/>
                </w:tcPr>
                <w:p>
                  <w:pPr>
                    <w:pStyle w:val="16"/>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公用工程</w:t>
                  </w:r>
                </w:p>
              </w:tc>
              <w:tc>
                <w:tcPr>
                  <w:tcW w:w="1553"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供电系统</w:t>
                  </w:r>
                </w:p>
              </w:tc>
              <w:tc>
                <w:tcPr>
                  <w:tcW w:w="4330"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市政供电</w:t>
                  </w:r>
                </w:p>
              </w:tc>
              <w:tc>
                <w:tcPr>
                  <w:tcW w:w="2084" w:type="dxa"/>
                  <w:tcBorders>
                    <w:tl2br w:val="nil"/>
                    <w:tr2bl w:val="nil"/>
                  </w:tcBorders>
                  <w:vAlign w:val="center"/>
                </w:tcPr>
                <w:p>
                  <w:pPr>
                    <w:pStyle w:val="16"/>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依托现有工程</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Merge w:val="continue"/>
                  <w:tcBorders>
                    <w:tl2br w:val="nil"/>
                    <w:tr2bl w:val="nil"/>
                  </w:tcBorders>
                  <w:vAlign w:val="center"/>
                </w:tcPr>
                <w:p>
                  <w:pPr>
                    <w:pStyle w:val="16"/>
                    <w:ind w:left="0" w:leftChars="0" w:firstLine="0" w:firstLineChars="0"/>
                    <w:jc w:val="center"/>
                    <w:rPr>
                      <w:rFonts w:hint="default" w:ascii="Times New Roman" w:hAnsi="Times New Roman" w:cs="Times New Roman"/>
                      <w:color w:val="auto"/>
                      <w:sz w:val="21"/>
                      <w:szCs w:val="21"/>
                      <w:highlight w:val="none"/>
                      <w:lang w:val="en-US" w:eastAsia="zh-CN"/>
                    </w:rPr>
                  </w:pPr>
                </w:p>
              </w:tc>
              <w:tc>
                <w:tcPr>
                  <w:tcW w:w="1553"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给水系统</w:t>
                  </w:r>
                </w:p>
              </w:tc>
              <w:tc>
                <w:tcPr>
                  <w:tcW w:w="4330"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市政供水</w:t>
                  </w:r>
                </w:p>
              </w:tc>
              <w:tc>
                <w:tcPr>
                  <w:tcW w:w="2084" w:type="dxa"/>
                  <w:tcBorders>
                    <w:tl2br w:val="nil"/>
                    <w:tr2bl w:val="nil"/>
                  </w:tcBorders>
                  <w:vAlign w:val="center"/>
                </w:tcPr>
                <w:p>
                  <w:pPr>
                    <w:pStyle w:val="16"/>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依托现有工程</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Merge w:val="continue"/>
                  <w:tcBorders>
                    <w:tl2br w:val="nil"/>
                    <w:tr2bl w:val="nil"/>
                  </w:tcBorders>
                  <w:vAlign w:val="center"/>
                </w:tcPr>
                <w:p>
                  <w:pPr>
                    <w:pStyle w:val="16"/>
                    <w:ind w:left="0" w:leftChars="0" w:firstLine="0" w:firstLineChars="0"/>
                    <w:jc w:val="center"/>
                    <w:rPr>
                      <w:rFonts w:hint="default" w:ascii="Times New Roman" w:hAnsi="Times New Roman" w:cs="Times New Roman"/>
                      <w:color w:val="auto"/>
                      <w:sz w:val="21"/>
                      <w:szCs w:val="21"/>
                      <w:highlight w:val="none"/>
                      <w:lang w:val="en-US" w:eastAsia="zh-CN"/>
                    </w:rPr>
                  </w:pPr>
                </w:p>
              </w:tc>
              <w:tc>
                <w:tcPr>
                  <w:tcW w:w="1553"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排水系统</w:t>
                  </w:r>
                </w:p>
              </w:tc>
              <w:tc>
                <w:tcPr>
                  <w:tcW w:w="4330"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雨污分流，DMF废液回收处理设备冷凝水回用于喷淋塔，不排放</w:t>
                  </w:r>
                </w:p>
              </w:tc>
              <w:tc>
                <w:tcPr>
                  <w:tcW w:w="2084" w:type="dxa"/>
                  <w:tcBorders>
                    <w:tl2br w:val="nil"/>
                    <w:tr2bl w:val="nil"/>
                  </w:tcBorders>
                  <w:vAlign w:val="center"/>
                </w:tcPr>
                <w:p>
                  <w:pPr>
                    <w:pStyle w:val="16"/>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Merge w:val="continue"/>
                  <w:tcBorders>
                    <w:tl2br w:val="nil"/>
                    <w:tr2bl w:val="nil"/>
                  </w:tcBorders>
                  <w:vAlign w:val="center"/>
                </w:tcPr>
                <w:p>
                  <w:pPr>
                    <w:pStyle w:val="16"/>
                    <w:jc w:val="center"/>
                    <w:rPr>
                      <w:rFonts w:hint="default" w:ascii="Times New Roman" w:hAnsi="Times New Roman" w:cs="Times New Roman"/>
                      <w:color w:val="auto"/>
                      <w:sz w:val="21"/>
                      <w:szCs w:val="21"/>
                      <w:highlight w:val="none"/>
                    </w:rPr>
                  </w:pPr>
                </w:p>
              </w:tc>
              <w:tc>
                <w:tcPr>
                  <w:tcW w:w="1553"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供热系统</w:t>
                  </w:r>
                </w:p>
              </w:tc>
              <w:tc>
                <w:tcPr>
                  <w:tcW w:w="4330"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由生产线蒸汽余热供热</w:t>
                  </w:r>
                </w:p>
              </w:tc>
              <w:tc>
                <w:tcPr>
                  <w:tcW w:w="2084"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依托现有工程</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Merge w:val="restart"/>
                  <w:tcBorders>
                    <w:tl2br w:val="nil"/>
                    <w:tr2bl w:val="nil"/>
                  </w:tcBorders>
                  <w:vAlign w:val="center"/>
                </w:tcPr>
                <w:p>
                  <w:pPr>
                    <w:pStyle w:val="16"/>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环保工程</w:t>
                  </w:r>
                </w:p>
              </w:tc>
              <w:tc>
                <w:tcPr>
                  <w:tcW w:w="1553"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废水处理工程</w:t>
                  </w:r>
                </w:p>
              </w:tc>
              <w:tc>
                <w:tcPr>
                  <w:tcW w:w="4330"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DMF废液回收处理设备冷凝水回用于喷淋塔，不外排</w:t>
                  </w:r>
                </w:p>
              </w:tc>
              <w:tc>
                <w:tcPr>
                  <w:tcW w:w="2084"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78" w:type="dxa"/>
                  <w:vMerge w:val="continue"/>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p>
              </w:tc>
              <w:tc>
                <w:tcPr>
                  <w:tcW w:w="1553" w:type="dxa"/>
                  <w:vMerge w:val="restart"/>
                  <w:tcBorders>
                    <w:tl2br w:val="nil"/>
                    <w:tr2bl w:val="nil"/>
                  </w:tcBorders>
                  <w:vAlign w:val="center"/>
                </w:tcPr>
                <w:p>
                  <w:pPr>
                    <w:pStyle w:val="16"/>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废气处理工程</w:t>
                  </w:r>
                </w:p>
              </w:tc>
              <w:tc>
                <w:tcPr>
                  <w:tcW w:w="4330" w:type="dxa"/>
                  <w:tcBorders>
                    <w:tl2br w:val="nil"/>
                    <w:tr2bl w:val="nil"/>
                  </w:tcBorders>
                  <w:vAlign w:val="center"/>
                </w:tcPr>
                <w:p>
                  <w:pPr>
                    <w:pStyle w:val="16"/>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设备（1）引至2#喷淋塔处理后通过17m排气筒（DA002）排放</w:t>
                  </w:r>
                </w:p>
              </w:tc>
              <w:tc>
                <w:tcPr>
                  <w:tcW w:w="2084" w:type="dxa"/>
                  <w:vMerge w:val="restart"/>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依托现有工程</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78" w:type="dxa"/>
                  <w:vMerge w:val="continue"/>
                  <w:tcBorders>
                    <w:tl2br w:val="nil"/>
                    <w:tr2bl w:val="nil"/>
                  </w:tcBorders>
                  <w:vAlign w:val="center"/>
                </w:tcPr>
                <w:p>
                  <w:pPr>
                    <w:pStyle w:val="16"/>
                    <w:ind w:left="0" w:leftChars="0" w:firstLine="0" w:firstLineChars="0"/>
                    <w:jc w:val="center"/>
                    <w:rPr>
                      <w:rFonts w:hint="default" w:ascii="Times New Roman" w:hAnsi="Times New Roman" w:cs="Times New Roman"/>
                      <w:color w:val="auto"/>
                      <w:highlight w:val="none"/>
                    </w:rPr>
                  </w:pPr>
                </w:p>
              </w:tc>
              <w:tc>
                <w:tcPr>
                  <w:tcW w:w="1553" w:type="dxa"/>
                  <w:vMerge w:val="continue"/>
                  <w:tcBorders>
                    <w:tl2br w:val="nil"/>
                    <w:tr2bl w:val="nil"/>
                  </w:tcBorders>
                  <w:vAlign w:val="center"/>
                </w:tcPr>
                <w:p>
                  <w:pPr>
                    <w:pStyle w:val="16"/>
                    <w:ind w:left="0" w:leftChars="0" w:firstLine="0" w:firstLineChars="0"/>
                    <w:jc w:val="center"/>
                    <w:rPr>
                      <w:rFonts w:hint="default" w:ascii="Times New Roman" w:hAnsi="Times New Roman" w:cs="Times New Roman"/>
                      <w:color w:val="auto"/>
                      <w:highlight w:val="none"/>
                    </w:rPr>
                  </w:pPr>
                </w:p>
              </w:tc>
              <w:tc>
                <w:tcPr>
                  <w:tcW w:w="4330" w:type="dxa"/>
                  <w:tcBorders>
                    <w:tl2br w:val="nil"/>
                    <w:tr2bl w:val="nil"/>
                  </w:tcBorders>
                  <w:vAlign w:val="center"/>
                </w:tcPr>
                <w:p>
                  <w:pPr>
                    <w:pStyle w:val="16"/>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设备（2）引至3#喷淋塔处理后通过17m排气筒（DA003）排放</w:t>
                  </w:r>
                </w:p>
              </w:tc>
              <w:tc>
                <w:tcPr>
                  <w:tcW w:w="2084" w:type="dxa"/>
                  <w:vMerge w:val="continue"/>
                  <w:tcBorders>
                    <w:tl2br w:val="nil"/>
                    <w:tr2bl w:val="nil"/>
                  </w:tcBorders>
                  <w:vAlign w:val="center"/>
                </w:tcPr>
                <w:p>
                  <w:pPr>
                    <w:pStyle w:val="16"/>
                    <w:ind w:left="0" w:leftChars="0" w:firstLine="0" w:firstLineChars="0"/>
                    <w:jc w:val="center"/>
                    <w:rPr>
                      <w:rFonts w:hint="default" w:ascii="Times New Roman" w:hAnsi="Times New Roman" w:cs="Times New Roman"/>
                      <w:color w:val="auto"/>
                      <w:sz w:val="21"/>
                      <w:szCs w:val="21"/>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Merge w:val="continue"/>
                  <w:tcBorders>
                    <w:tl2br w:val="nil"/>
                    <w:tr2bl w:val="nil"/>
                  </w:tcBorders>
                  <w:vAlign w:val="center"/>
                </w:tcPr>
                <w:p>
                  <w:pPr>
                    <w:pStyle w:val="16"/>
                    <w:jc w:val="center"/>
                    <w:rPr>
                      <w:rFonts w:hint="default" w:ascii="Times New Roman" w:hAnsi="Times New Roman" w:cs="Times New Roman"/>
                      <w:color w:val="auto"/>
                      <w:sz w:val="21"/>
                      <w:szCs w:val="21"/>
                      <w:highlight w:val="none"/>
                    </w:rPr>
                  </w:pPr>
                </w:p>
              </w:tc>
              <w:tc>
                <w:tcPr>
                  <w:tcW w:w="1553"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噪声治理工程</w:t>
                  </w:r>
                </w:p>
              </w:tc>
              <w:tc>
                <w:tcPr>
                  <w:tcW w:w="4330" w:type="dxa"/>
                  <w:tcBorders>
                    <w:tl2br w:val="nil"/>
                    <w:tr2bl w:val="nil"/>
                  </w:tcBorders>
                  <w:vAlign w:val="center"/>
                </w:tcPr>
                <w:p>
                  <w:pPr>
                    <w:pStyle w:val="16"/>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选用低噪声级设备，采用减振、隔声、降噪等措施</w:t>
                  </w:r>
                </w:p>
              </w:tc>
              <w:tc>
                <w:tcPr>
                  <w:tcW w:w="2084"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Merge w:val="continue"/>
                  <w:tcBorders>
                    <w:tl2br w:val="nil"/>
                    <w:tr2bl w:val="nil"/>
                  </w:tcBorders>
                  <w:vAlign w:val="center"/>
                </w:tcPr>
                <w:p>
                  <w:pPr>
                    <w:pStyle w:val="16"/>
                    <w:jc w:val="center"/>
                    <w:rPr>
                      <w:rFonts w:hint="default" w:ascii="Times New Roman" w:hAnsi="Times New Roman" w:cs="Times New Roman"/>
                      <w:color w:val="auto"/>
                      <w:sz w:val="21"/>
                      <w:szCs w:val="21"/>
                      <w:highlight w:val="none"/>
                    </w:rPr>
                  </w:pPr>
                </w:p>
              </w:tc>
              <w:tc>
                <w:tcPr>
                  <w:tcW w:w="1553"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危险废物</w:t>
                  </w:r>
                </w:p>
              </w:tc>
              <w:tc>
                <w:tcPr>
                  <w:tcW w:w="4330"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依托厂区已建危废间（30m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w:t>
                  </w:r>
                </w:p>
              </w:tc>
              <w:tc>
                <w:tcPr>
                  <w:tcW w:w="2084"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依托现有工程</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dxa"/>
                  <w:vMerge w:val="continue"/>
                  <w:tcBorders>
                    <w:tl2br w:val="nil"/>
                    <w:tr2bl w:val="nil"/>
                  </w:tcBorders>
                  <w:vAlign w:val="center"/>
                </w:tcPr>
                <w:p>
                  <w:pPr>
                    <w:pStyle w:val="16"/>
                    <w:jc w:val="center"/>
                    <w:rPr>
                      <w:rFonts w:hint="default" w:ascii="Times New Roman" w:hAnsi="Times New Roman" w:cs="Times New Roman"/>
                      <w:color w:val="auto"/>
                      <w:sz w:val="21"/>
                      <w:szCs w:val="21"/>
                      <w:highlight w:val="none"/>
                    </w:rPr>
                  </w:pPr>
                </w:p>
              </w:tc>
              <w:tc>
                <w:tcPr>
                  <w:tcW w:w="1553"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环境风险</w:t>
                  </w:r>
                </w:p>
              </w:tc>
              <w:tc>
                <w:tcPr>
                  <w:tcW w:w="4330"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依托厂区已建200m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vertAlign w:val="baseline"/>
                      <w:lang w:val="en-US" w:eastAsia="zh-CN"/>
                    </w:rPr>
                    <w:t>事故应急池，</w:t>
                  </w:r>
                  <w:r>
                    <w:rPr>
                      <w:rFonts w:hint="default" w:ascii="Times New Roman" w:hAnsi="Times New Roman" w:cs="Times New Roman"/>
                      <w:color w:val="auto"/>
                      <w:sz w:val="21"/>
                      <w:szCs w:val="21"/>
                      <w:highlight w:val="none"/>
                      <w:lang w:val="en-US" w:eastAsia="zh-CN"/>
                    </w:rPr>
                    <w:t>完善储罐区围堰防腐防渗处理</w:t>
                  </w:r>
                </w:p>
              </w:tc>
              <w:tc>
                <w:tcPr>
                  <w:tcW w:w="2084" w:type="dxa"/>
                  <w:tcBorders>
                    <w:tl2br w:val="nil"/>
                    <w:tr2bl w:val="nil"/>
                  </w:tcBorders>
                  <w:vAlign w:val="center"/>
                </w:tcPr>
                <w:p>
                  <w:pPr>
                    <w:pStyle w:val="16"/>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1" w:type="dxa"/>
                  <w:gridSpan w:val="2"/>
                  <w:tcBorders>
                    <w:tl2br w:val="nil"/>
                    <w:tr2bl w:val="nil"/>
                  </w:tcBorders>
                  <w:vAlign w:val="center"/>
                </w:tcPr>
                <w:p>
                  <w:pPr>
                    <w:pStyle w:val="16"/>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原料来源</w:t>
                  </w:r>
                </w:p>
              </w:tc>
              <w:tc>
                <w:tcPr>
                  <w:tcW w:w="4330"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本公司PU合成革生产线产生的DMF废液</w:t>
                  </w:r>
                </w:p>
              </w:tc>
              <w:tc>
                <w:tcPr>
                  <w:tcW w:w="2084" w:type="dxa"/>
                  <w:tcBorders>
                    <w:tl2br w:val="nil"/>
                    <w:tr2bl w:val="nil"/>
                  </w:tcBorders>
                  <w:vAlign w:val="center"/>
                </w:tcPr>
                <w:p>
                  <w:pPr>
                    <w:pStyle w:val="16"/>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bl>
          <w:p>
            <w:pPr>
              <w:pStyle w:val="5"/>
              <w:spacing w:line="240" w:lineRule="auto"/>
              <w:ind w:firstLine="480"/>
              <w:rPr>
                <w:rFonts w:hint="default" w:ascii="Times New Roman" w:hAnsi="Times New Roman" w:cs="Times New Roman"/>
                <w:color w:val="auto"/>
                <w:highlight w:val="none"/>
              </w:rPr>
            </w:pPr>
          </w:p>
          <w:p>
            <w:pPr>
              <w:pStyle w:val="2"/>
              <w:numPr>
                <w:ilvl w:val="1"/>
                <w:numId w:val="3"/>
              </w:numPr>
              <w:tabs>
                <w:tab w:val="left" w:pos="42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项目产品方案</w:t>
            </w:r>
          </w:p>
          <w:p>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本项目对厂内PU合成革生产线产生的DMF废液进行回收，蒸汽尾水低温蒸馏DMF废液回收处理设备处理规模为8300t/a，回收后的DMF成品浓度≥99.5%，回用于生产线（约301.508t/a，其中含DMF 300t/a）后，剩余DMF成品外售给树脂厂家（约538.716t/a，其中含DMF 536.023t/a）。产品方案及DMF产品质量标准见下表。</w:t>
            </w:r>
          </w:p>
          <w:p>
            <w:pPr>
              <w:pStyle w:val="15"/>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项目产品方案</w:t>
            </w:r>
          </w:p>
          <w:tbl>
            <w:tblPr>
              <w:tblStyle w:val="12"/>
              <w:tblW w:w="8645"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662"/>
              <w:gridCol w:w="1338"/>
              <w:gridCol w:w="1387"/>
              <w:gridCol w:w="1034"/>
              <w:gridCol w:w="152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4" w:type="dxa"/>
                  <w:tcBorders>
                    <w:tl2br w:val="nil"/>
                    <w:tr2bl w:val="nil"/>
                  </w:tcBorders>
                  <w:vAlign w:val="center"/>
                </w:tcPr>
                <w:p>
                  <w:pPr>
                    <w:pStyle w:val="16"/>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设备名称</w:t>
                  </w:r>
                </w:p>
              </w:tc>
              <w:tc>
                <w:tcPr>
                  <w:tcW w:w="1662" w:type="dxa"/>
                  <w:tcBorders>
                    <w:tl2br w:val="nil"/>
                    <w:tr2bl w:val="nil"/>
                  </w:tcBorders>
                  <w:vAlign w:val="center"/>
                </w:tcPr>
                <w:p>
                  <w:pPr>
                    <w:pStyle w:val="16"/>
                    <w:ind w:left="0" w:leftChars="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原料来源</w:t>
                  </w:r>
                </w:p>
              </w:tc>
              <w:tc>
                <w:tcPr>
                  <w:tcW w:w="1338" w:type="dxa"/>
                  <w:tcBorders>
                    <w:tl2br w:val="nil"/>
                    <w:tr2bl w:val="nil"/>
                  </w:tcBorders>
                  <w:vAlign w:val="center"/>
                </w:tcPr>
                <w:p>
                  <w:pPr>
                    <w:pStyle w:val="16"/>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处理规模t/a</w:t>
                  </w:r>
                </w:p>
              </w:tc>
              <w:tc>
                <w:tcPr>
                  <w:tcW w:w="1387" w:type="dxa"/>
                  <w:tcBorders>
                    <w:tl2br w:val="nil"/>
                    <w:tr2bl w:val="nil"/>
                  </w:tcBorders>
                  <w:vAlign w:val="center"/>
                </w:tcPr>
                <w:p>
                  <w:pPr>
                    <w:pStyle w:val="16"/>
                    <w:ind w:left="0" w:leftChars="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产品名称</w:t>
                  </w:r>
                </w:p>
              </w:tc>
              <w:tc>
                <w:tcPr>
                  <w:tcW w:w="2554" w:type="dxa"/>
                  <w:gridSpan w:val="2"/>
                  <w:tcBorders>
                    <w:tl2br w:val="nil"/>
                    <w:tr2bl w:val="nil"/>
                  </w:tcBorders>
                  <w:vAlign w:val="center"/>
                </w:tcPr>
                <w:p>
                  <w:pPr>
                    <w:pStyle w:val="16"/>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产能t/a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704" w:type="dxa"/>
                  <w:vMerge w:val="restart"/>
                  <w:tcBorders>
                    <w:tl2br w:val="nil"/>
                    <w:tr2bl w:val="nil"/>
                  </w:tcBorders>
                  <w:vAlign w:val="center"/>
                </w:tcPr>
                <w:p>
                  <w:pPr>
                    <w:pStyle w:val="16"/>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蒸汽尾水低温蒸馏DMF废液回收处理设备</w:t>
                  </w:r>
                </w:p>
              </w:tc>
              <w:tc>
                <w:tcPr>
                  <w:tcW w:w="1662" w:type="dxa"/>
                  <w:vMerge w:val="restart"/>
                  <w:tcBorders>
                    <w:tl2br w:val="nil"/>
                    <w:tr2bl w:val="nil"/>
                  </w:tcBorders>
                  <w:vAlign w:val="center"/>
                </w:tcPr>
                <w:p>
                  <w:pPr>
                    <w:pStyle w:val="16"/>
                    <w:ind w:left="0" w:leftChars="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本厂PU合成革生产线产生的DMF废液</w:t>
                  </w:r>
                </w:p>
              </w:tc>
              <w:tc>
                <w:tcPr>
                  <w:tcW w:w="1338" w:type="dxa"/>
                  <w:vMerge w:val="restart"/>
                  <w:tcBorders>
                    <w:tl2br w:val="nil"/>
                    <w:tr2bl w:val="nil"/>
                  </w:tcBorders>
                  <w:vAlign w:val="center"/>
                </w:tcPr>
                <w:p>
                  <w:pPr>
                    <w:pStyle w:val="16"/>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8300</w:t>
                  </w:r>
                </w:p>
              </w:tc>
              <w:tc>
                <w:tcPr>
                  <w:tcW w:w="1387" w:type="dxa"/>
                  <w:vMerge w:val="restart"/>
                  <w:tcBorders>
                    <w:tl2br w:val="nil"/>
                    <w:tr2bl w:val="nil"/>
                  </w:tcBorders>
                  <w:vAlign w:val="center"/>
                </w:tcPr>
                <w:p>
                  <w:pPr>
                    <w:pStyle w:val="16"/>
                    <w:ind w:left="0" w:leftChars="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二甲基甲酰胺（DMF）</w:t>
                  </w:r>
                </w:p>
              </w:tc>
              <w:tc>
                <w:tcPr>
                  <w:tcW w:w="1034" w:type="dxa"/>
                  <w:tcBorders>
                    <w:tl2br w:val="nil"/>
                    <w:tr2bl w:val="nil"/>
                  </w:tcBorders>
                  <w:vAlign w:val="center"/>
                </w:tcPr>
                <w:p>
                  <w:pPr>
                    <w:pStyle w:val="16"/>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301.508</w:t>
                  </w:r>
                </w:p>
              </w:tc>
              <w:tc>
                <w:tcPr>
                  <w:tcW w:w="1520" w:type="dxa"/>
                  <w:tcBorders>
                    <w:tl2br w:val="nil"/>
                    <w:tr2bl w:val="nil"/>
                  </w:tcBorders>
                  <w:vAlign w:val="center"/>
                </w:tcPr>
                <w:p>
                  <w:pPr>
                    <w:pStyle w:val="16"/>
                    <w:ind w:left="0" w:leftChars="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回用PU合成革生产线</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704" w:type="dxa"/>
                  <w:vMerge w:val="continue"/>
                  <w:tcBorders>
                    <w:tl2br w:val="nil"/>
                    <w:tr2bl w:val="nil"/>
                  </w:tcBorders>
                  <w:vAlign w:val="center"/>
                </w:tcPr>
                <w:p>
                  <w:pPr>
                    <w:pStyle w:val="16"/>
                    <w:jc w:val="center"/>
                    <w:rPr>
                      <w:rFonts w:hint="default" w:ascii="Times New Roman" w:hAnsi="Times New Roman" w:cs="Times New Roman"/>
                      <w:color w:val="auto"/>
                      <w:highlight w:val="none"/>
                    </w:rPr>
                  </w:pPr>
                </w:p>
              </w:tc>
              <w:tc>
                <w:tcPr>
                  <w:tcW w:w="1662" w:type="dxa"/>
                  <w:vMerge w:val="continue"/>
                  <w:tcBorders>
                    <w:tl2br w:val="nil"/>
                    <w:tr2bl w:val="nil"/>
                  </w:tcBorders>
                  <w:vAlign w:val="center"/>
                </w:tcPr>
                <w:p>
                  <w:pPr>
                    <w:pStyle w:val="16"/>
                    <w:jc w:val="center"/>
                    <w:rPr>
                      <w:rFonts w:hint="default" w:ascii="Times New Roman" w:hAnsi="Times New Roman" w:cs="Times New Roman"/>
                      <w:color w:val="auto"/>
                      <w:highlight w:val="none"/>
                    </w:rPr>
                  </w:pPr>
                </w:p>
              </w:tc>
              <w:tc>
                <w:tcPr>
                  <w:tcW w:w="1338" w:type="dxa"/>
                  <w:vMerge w:val="continue"/>
                  <w:tcBorders>
                    <w:tl2br w:val="nil"/>
                    <w:tr2bl w:val="nil"/>
                  </w:tcBorders>
                  <w:vAlign w:val="center"/>
                </w:tcPr>
                <w:p>
                  <w:pPr>
                    <w:pStyle w:val="16"/>
                    <w:jc w:val="center"/>
                    <w:rPr>
                      <w:rFonts w:hint="default" w:ascii="Times New Roman" w:hAnsi="Times New Roman" w:cs="Times New Roman"/>
                      <w:color w:val="auto"/>
                      <w:highlight w:val="none"/>
                    </w:rPr>
                  </w:pPr>
                </w:p>
              </w:tc>
              <w:tc>
                <w:tcPr>
                  <w:tcW w:w="1387" w:type="dxa"/>
                  <w:vMerge w:val="continue"/>
                  <w:tcBorders>
                    <w:tl2br w:val="nil"/>
                    <w:tr2bl w:val="nil"/>
                  </w:tcBorders>
                  <w:vAlign w:val="center"/>
                </w:tcPr>
                <w:p>
                  <w:pPr>
                    <w:pStyle w:val="16"/>
                    <w:jc w:val="center"/>
                    <w:rPr>
                      <w:rFonts w:hint="default" w:ascii="Times New Roman" w:hAnsi="Times New Roman" w:cs="Times New Roman"/>
                      <w:color w:val="auto"/>
                      <w:highlight w:val="none"/>
                    </w:rPr>
                  </w:pPr>
                </w:p>
              </w:tc>
              <w:tc>
                <w:tcPr>
                  <w:tcW w:w="1034" w:type="dxa"/>
                  <w:tcBorders>
                    <w:tl2br w:val="nil"/>
                    <w:tr2bl w:val="nil"/>
                  </w:tcBorders>
                  <w:vAlign w:val="center"/>
                </w:tcPr>
                <w:p>
                  <w:pPr>
                    <w:pStyle w:val="16"/>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538.716</w:t>
                  </w:r>
                </w:p>
              </w:tc>
              <w:tc>
                <w:tcPr>
                  <w:tcW w:w="1520" w:type="dxa"/>
                  <w:tcBorders>
                    <w:tl2br w:val="nil"/>
                    <w:tr2bl w:val="nil"/>
                  </w:tcBorders>
                  <w:vAlign w:val="center"/>
                </w:tcPr>
                <w:p>
                  <w:pPr>
                    <w:pStyle w:val="16"/>
                    <w:ind w:left="0" w:leftChars="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外售树脂厂家</w:t>
                  </w:r>
                </w:p>
              </w:tc>
            </w:tr>
          </w:tbl>
          <w:p>
            <w:pPr>
              <w:bidi w:val="0"/>
              <w:rPr>
                <w:rFonts w:hint="default" w:ascii="Times New Roman" w:hAnsi="Times New Roman" w:cs="Times New Roman"/>
                <w:color w:val="auto"/>
                <w:highlight w:val="none"/>
              </w:rPr>
            </w:pPr>
          </w:p>
          <w:p>
            <w:pPr>
              <w:pStyle w:val="1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DMF产品质量指标</w:t>
            </w:r>
          </w:p>
          <w:tbl>
            <w:tblPr>
              <w:tblStyle w:val="11"/>
              <w:tblW w:w="8645"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56"/>
              <w:gridCol w:w="498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656" w:type="dxa"/>
                  <w:tcBorders>
                    <w:tl2br w:val="nil"/>
                    <w:tr2bl w:val="nil"/>
                  </w:tcBorders>
                  <w:vAlign w:val="center"/>
                </w:tcPr>
                <w:p>
                  <w:pPr>
                    <w:pStyle w:val="16"/>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指标名称</w:t>
                  </w:r>
                </w:p>
              </w:tc>
              <w:tc>
                <w:tcPr>
                  <w:tcW w:w="4989" w:type="dxa"/>
                  <w:tcBorders>
                    <w:tl2br w:val="nil"/>
                    <w:tr2bl w:val="nil"/>
                  </w:tcBorders>
                  <w:vAlign w:val="center"/>
                </w:tcPr>
                <w:p>
                  <w:pPr>
                    <w:pStyle w:val="16"/>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合格品/《工业用二甲基甲酰胺》（HG/T 2028-2009）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56" w:type="dxa"/>
                  <w:tcBorders>
                    <w:tl2br w:val="nil"/>
                    <w:tr2bl w:val="nil"/>
                  </w:tcBorders>
                  <w:vAlign w:val="center"/>
                </w:tcPr>
                <w:p>
                  <w:pPr>
                    <w:pStyle w:val="16"/>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外观</w:t>
                  </w:r>
                </w:p>
              </w:tc>
              <w:tc>
                <w:tcPr>
                  <w:tcW w:w="4989" w:type="dxa"/>
                  <w:tcBorders>
                    <w:tl2br w:val="nil"/>
                    <w:tr2bl w:val="nil"/>
                  </w:tcBorders>
                  <w:vAlign w:val="center"/>
                </w:tcPr>
                <w:p>
                  <w:pPr>
                    <w:pStyle w:val="16"/>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透明液体、无可见杂质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56" w:type="dxa"/>
                  <w:tcBorders>
                    <w:tl2br w:val="nil"/>
                    <w:tr2bl w:val="nil"/>
                  </w:tcBorders>
                  <w:vAlign w:val="center"/>
                </w:tcPr>
                <w:p>
                  <w:pPr>
                    <w:pStyle w:val="16"/>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二甲基甲酰胺w%    ≥</w:t>
                  </w:r>
                </w:p>
              </w:tc>
              <w:tc>
                <w:tcPr>
                  <w:tcW w:w="4989" w:type="dxa"/>
                  <w:tcBorders>
                    <w:tl2br w:val="nil"/>
                    <w:tr2bl w:val="nil"/>
                  </w:tcBorders>
                  <w:vAlign w:val="center"/>
                </w:tcPr>
                <w:p>
                  <w:pPr>
                    <w:pStyle w:val="16"/>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99.5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56" w:type="dxa"/>
                  <w:tcBorders>
                    <w:tl2br w:val="nil"/>
                    <w:tr2bl w:val="nil"/>
                  </w:tcBorders>
                  <w:vAlign w:val="center"/>
                </w:tcPr>
                <w:p>
                  <w:pPr>
                    <w:pStyle w:val="16"/>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甲醇  w/%  ≤</w:t>
                  </w:r>
                </w:p>
              </w:tc>
              <w:tc>
                <w:tcPr>
                  <w:tcW w:w="4989" w:type="dxa"/>
                  <w:tcBorders>
                    <w:tl2br w:val="nil"/>
                    <w:tr2bl w:val="nil"/>
                  </w:tcBorders>
                  <w:vAlign w:val="center"/>
                </w:tcPr>
                <w:p>
                  <w:pPr>
                    <w:pStyle w:val="16"/>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56" w:type="dxa"/>
                  <w:tcBorders>
                    <w:tl2br w:val="nil"/>
                    <w:tr2bl w:val="nil"/>
                  </w:tcBorders>
                  <w:vAlign w:val="center"/>
                </w:tcPr>
                <w:p>
                  <w:pPr>
                    <w:pStyle w:val="16"/>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色度/Hazen 单位（铂-钴色号） ≤</w:t>
                  </w:r>
                </w:p>
              </w:tc>
              <w:tc>
                <w:tcPr>
                  <w:tcW w:w="4989" w:type="dxa"/>
                  <w:tcBorders>
                    <w:tl2br w:val="nil"/>
                    <w:tr2bl w:val="nil"/>
                  </w:tcBorders>
                  <w:vAlign w:val="center"/>
                </w:tcPr>
                <w:p>
                  <w:pPr>
                    <w:pStyle w:val="16"/>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56" w:type="dxa"/>
                  <w:tcBorders>
                    <w:tl2br w:val="nil"/>
                    <w:tr2bl w:val="nil"/>
                  </w:tcBorders>
                  <w:vAlign w:val="center"/>
                </w:tcPr>
                <w:p>
                  <w:pPr>
                    <w:pStyle w:val="16"/>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水 w/% ≤</w:t>
                  </w:r>
                </w:p>
              </w:tc>
              <w:tc>
                <w:tcPr>
                  <w:tcW w:w="4989" w:type="dxa"/>
                  <w:tcBorders>
                    <w:tl2br w:val="nil"/>
                    <w:tr2bl w:val="nil"/>
                  </w:tcBorders>
                  <w:vAlign w:val="center"/>
                </w:tcPr>
                <w:p>
                  <w:pPr>
                    <w:pStyle w:val="16"/>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56" w:type="dxa"/>
                  <w:tcBorders>
                    <w:tl2br w:val="nil"/>
                    <w:tr2bl w:val="nil"/>
                  </w:tcBorders>
                  <w:vAlign w:val="center"/>
                </w:tcPr>
                <w:p>
                  <w:pPr>
                    <w:pStyle w:val="16"/>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铁 w/（mg/kg） ≤</w:t>
                  </w:r>
                </w:p>
              </w:tc>
              <w:tc>
                <w:tcPr>
                  <w:tcW w:w="4989" w:type="dxa"/>
                  <w:tcBorders>
                    <w:tl2br w:val="nil"/>
                    <w:tr2bl w:val="nil"/>
                  </w:tcBorders>
                  <w:vAlign w:val="center"/>
                </w:tcPr>
                <w:p>
                  <w:pPr>
                    <w:pStyle w:val="16"/>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56" w:type="dxa"/>
                  <w:tcBorders>
                    <w:tl2br w:val="nil"/>
                    <w:tr2bl w:val="nil"/>
                  </w:tcBorders>
                  <w:vAlign w:val="center"/>
                </w:tcPr>
                <w:p>
                  <w:pPr>
                    <w:pStyle w:val="16"/>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酸度（以甲酸计）w/% ≤</w:t>
                  </w:r>
                </w:p>
              </w:tc>
              <w:tc>
                <w:tcPr>
                  <w:tcW w:w="4989" w:type="dxa"/>
                  <w:tcBorders>
                    <w:tl2br w:val="nil"/>
                    <w:tr2bl w:val="nil"/>
                  </w:tcBorders>
                  <w:vAlign w:val="center"/>
                </w:tcPr>
                <w:p>
                  <w:pPr>
                    <w:pStyle w:val="16"/>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0.003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56" w:type="dxa"/>
                  <w:tcBorders>
                    <w:tl2br w:val="nil"/>
                    <w:tr2bl w:val="nil"/>
                  </w:tcBorders>
                  <w:vAlign w:val="center"/>
                </w:tcPr>
                <w:p>
                  <w:pPr>
                    <w:pStyle w:val="16"/>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pH 值（25℃，20%水溶液）w/% ≤</w:t>
                  </w:r>
                </w:p>
              </w:tc>
              <w:tc>
                <w:tcPr>
                  <w:tcW w:w="4989" w:type="dxa"/>
                  <w:tcBorders>
                    <w:tl2br w:val="nil"/>
                    <w:tr2bl w:val="nil"/>
                  </w:tcBorders>
                  <w:vAlign w:val="center"/>
                </w:tcPr>
                <w:p>
                  <w:pPr>
                    <w:pStyle w:val="16"/>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6.5-8.0</w:t>
                  </w:r>
                </w:p>
              </w:tc>
            </w:tr>
          </w:tbl>
          <w:p>
            <w:pPr>
              <w:pStyle w:val="16"/>
              <w:rPr>
                <w:rFonts w:hint="default" w:ascii="Times New Roman" w:hAnsi="Times New Roman" w:cs="Times New Roman"/>
                <w:color w:val="auto"/>
                <w:highlight w:val="none"/>
              </w:rPr>
            </w:pPr>
          </w:p>
          <w:p>
            <w:pPr>
              <w:pStyle w:val="2"/>
              <w:numPr>
                <w:ilvl w:val="1"/>
                <w:numId w:val="3"/>
              </w:numPr>
              <w:tabs>
                <w:tab w:val="left" w:pos="42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主要生产设备</w:t>
            </w:r>
          </w:p>
          <w:p>
            <w:pPr>
              <w:pStyle w:val="5"/>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本次新增DMF废液回收处理设备2套，详见下表。</w:t>
            </w:r>
          </w:p>
          <w:p>
            <w:pPr>
              <w:pStyle w:val="15"/>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生产设备一览表</w:t>
            </w:r>
          </w:p>
          <w:tbl>
            <w:tblPr>
              <w:tblStyle w:val="12"/>
              <w:tblW w:w="8642"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2"/>
              <w:gridCol w:w="2101"/>
              <w:gridCol w:w="807"/>
              <w:gridCol w:w="1022"/>
              <w:gridCol w:w="269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3" w:type="dxa"/>
                  <w:gridSpan w:val="2"/>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名称</w:t>
                  </w:r>
                </w:p>
              </w:tc>
              <w:tc>
                <w:tcPr>
                  <w:tcW w:w="807" w:type="dxa"/>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单位</w:t>
                  </w:r>
                </w:p>
              </w:tc>
              <w:tc>
                <w:tcPr>
                  <w:tcW w:w="1022" w:type="dxa"/>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数量</w:t>
                  </w:r>
                </w:p>
              </w:tc>
              <w:tc>
                <w:tcPr>
                  <w:tcW w:w="2690" w:type="dxa"/>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3" w:type="dxa"/>
                  <w:gridSpan w:val="2"/>
                  <w:tcBorders>
                    <w:tl2br w:val="nil"/>
                    <w:tr2bl w:val="nil"/>
                  </w:tcBorders>
                  <w:vAlign w:val="center"/>
                </w:tcPr>
                <w:p>
                  <w:pPr>
                    <w:pStyle w:val="16"/>
                    <w:ind w:left="0" w:leftChars="0" w:firstLine="0" w:firstLineChars="0"/>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lang w:val="en-US" w:eastAsia="zh-CN"/>
                    </w:rPr>
                    <w:t>蒸汽尾水低温蒸馏DMF废液回收处理设备</w:t>
                  </w:r>
                </w:p>
              </w:tc>
              <w:tc>
                <w:tcPr>
                  <w:tcW w:w="807" w:type="dxa"/>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套</w:t>
                  </w:r>
                </w:p>
              </w:tc>
              <w:tc>
                <w:tcPr>
                  <w:tcW w:w="1022" w:type="dxa"/>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2</w:t>
                  </w:r>
                </w:p>
              </w:tc>
              <w:tc>
                <w:tcPr>
                  <w:tcW w:w="2690" w:type="dxa"/>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2" w:type="dxa"/>
                  <w:vMerge w:val="restart"/>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内含设备</w:t>
                  </w:r>
                </w:p>
              </w:tc>
              <w:tc>
                <w:tcPr>
                  <w:tcW w:w="2101" w:type="dxa"/>
                  <w:tcBorders>
                    <w:tl2br w:val="nil"/>
                    <w:tr2bl w:val="nil"/>
                  </w:tcBorders>
                  <w:vAlign w:val="center"/>
                </w:tcPr>
                <w:p>
                  <w:pPr>
                    <w:pStyle w:val="16"/>
                    <w:ind w:left="0" w:lef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超重力精馏床</w:t>
                  </w:r>
                </w:p>
              </w:tc>
              <w:tc>
                <w:tcPr>
                  <w:tcW w:w="807" w:type="dxa"/>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台</w:t>
                  </w:r>
                </w:p>
              </w:tc>
              <w:tc>
                <w:tcPr>
                  <w:tcW w:w="1022" w:type="dxa"/>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2</w:t>
                  </w:r>
                </w:p>
              </w:tc>
              <w:tc>
                <w:tcPr>
                  <w:tcW w:w="2690" w:type="dxa"/>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CX1300-Ⅲ</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2" w:type="dxa"/>
                  <w:vMerge w:val="continue"/>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p>
              </w:tc>
              <w:tc>
                <w:tcPr>
                  <w:tcW w:w="2101" w:type="dxa"/>
                  <w:tcBorders>
                    <w:tl2br w:val="nil"/>
                    <w:tr2bl w:val="nil"/>
                  </w:tcBorders>
                  <w:vAlign w:val="center"/>
                </w:tcPr>
                <w:p>
                  <w:pPr>
                    <w:pStyle w:val="16"/>
                    <w:ind w:left="0" w:lef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一次冷凝器</w:t>
                  </w:r>
                </w:p>
              </w:tc>
              <w:tc>
                <w:tcPr>
                  <w:tcW w:w="807" w:type="dxa"/>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台</w:t>
                  </w:r>
                </w:p>
              </w:tc>
              <w:tc>
                <w:tcPr>
                  <w:tcW w:w="1022" w:type="dxa"/>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2</w:t>
                  </w:r>
                </w:p>
              </w:tc>
              <w:tc>
                <w:tcPr>
                  <w:tcW w:w="2690" w:type="dxa"/>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80m</w:t>
                  </w:r>
                  <w:r>
                    <w:rPr>
                      <w:rFonts w:hint="default" w:ascii="Times New Roman" w:hAnsi="Times New Roman" w:cs="Times New Roman"/>
                      <w:color w:val="auto"/>
                      <w:highlight w:val="none"/>
                      <w:vertAlign w:val="superscript"/>
                      <w:lang w:val="en-US" w:eastAsia="zh-CN"/>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2" w:type="dxa"/>
                  <w:vMerge w:val="continue"/>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p>
              </w:tc>
              <w:tc>
                <w:tcPr>
                  <w:tcW w:w="2101" w:type="dxa"/>
                  <w:tcBorders>
                    <w:tl2br w:val="nil"/>
                    <w:tr2bl w:val="nil"/>
                  </w:tcBorders>
                  <w:vAlign w:val="center"/>
                </w:tcPr>
                <w:p>
                  <w:pPr>
                    <w:pStyle w:val="16"/>
                    <w:ind w:left="0" w:lef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卧式再沸器</w:t>
                  </w:r>
                </w:p>
              </w:tc>
              <w:tc>
                <w:tcPr>
                  <w:tcW w:w="807" w:type="dxa"/>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台</w:t>
                  </w:r>
                </w:p>
              </w:tc>
              <w:tc>
                <w:tcPr>
                  <w:tcW w:w="1022" w:type="dxa"/>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2</w:t>
                  </w:r>
                </w:p>
              </w:tc>
              <w:tc>
                <w:tcPr>
                  <w:tcW w:w="2690" w:type="dxa"/>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60m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vertAlign w:val="baseline"/>
                      <w:lang w:val="en-US" w:eastAsia="zh-CN"/>
                    </w:rPr>
                    <w:t>，8m</w:t>
                  </w:r>
                  <w:r>
                    <w:rPr>
                      <w:rFonts w:hint="default" w:ascii="Times New Roman" w:hAnsi="Times New Roman" w:cs="Times New Roman"/>
                      <w:color w:val="auto"/>
                      <w:highlight w:val="none"/>
                      <w:vertAlign w:val="superscript"/>
                      <w:lang w:val="en-US" w:eastAsia="zh-CN"/>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2" w:type="dxa"/>
                  <w:vMerge w:val="continue"/>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p>
              </w:tc>
              <w:tc>
                <w:tcPr>
                  <w:tcW w:w="2101" w:type="dxa"/>
                  <w:tcBorders>
                    <w:tl2br w:val="nil"/>
                    <w:tr2bl w:val="nil"/>
                  </w:tcBorders>
                  <w:vAlign w:val="center"/>
                </w:tcPr>
                <w:p>
                  <w:pPr>
                    <w:pStyle w:val="16"/>
                    <w:ind w:left="0" w:lef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上预热器</w:t>
                  </w:r>
                </w:p>
              </w:tc>
              <w:tc>
                <w:tcPr>
                  <w:tcW w:w="807" w:type="dxa"/>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台</w:t>
                  </w:r>
                </w:p>
              </w:tc>
              <w:tc>
                <w:tcPr>
                  <w:tcW w:w="1022" w:type="dxa"/>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2</w:t>
                  </w:r>
                </w:p>
              </w:tc>
              <w:tc>
                <w:tcPr>
                  <w:tcW w:w="2690" w:type="dxa"/>
                  <w:tcBorders>
                    <w:tl2br w:val="nil"/>
                    <w:tr2bl w:val="nil"/>
                  </w:tcBorders>
                  <w:vAlign w:val="center"/>
                </w:tcPr>
                <w:p>
                  <w:pPr>
                    <w:pStyle w:val="16"/>
                    <w:jc w:val="center"/>
                    <w:rPr>
                      <w:rFonts w:hint="default" w:ascii="Times New Roman" w:hAnsi="Times New Roman" w:cs="Times New Roman"/>
                      <w:color w:val="auto"/>
                      <w:highlight w:val="none"/>
                      <w:vertAlign w:val="superscript"/>
                      <w:lang w:val="en-US" w:eastAsia="zh-CN"/>
                    </w:rPr>
                  </w:pPr>
                  <w:r>
                    <w:rPr>
                      <w:rFonts w:hint="default" w:ascii="Times New Roman" w:hAnsi="Times New Roman" w:cs="Times New Roman"/>
                      <w:color w:val="auto"/>
                      <w:highlight w:val="none"/>
                      <w:vertAlign w:val="baseline"/>
                      <w:lang w:val="en-US" w:eastAsia="zh-CN"/>
                    </w:rPr>
                    <w:t>20m</w:t>
                  </w:r>
                  <w:r>
                    <w:rPr>
                      <w:rFonts w:hint="default" w:ascii="Times New Roman" w:hAnsi="Times New Roman" w:cs="Times New Roman"/>
                      <w:color w:val="auto"/>
                      <w:highlight w:val="none"/>
                      <w:vertAlign w:val="superscript"/>
                      <w:lang w:val="en-US" w:eastAsia="zh-CN"/>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2" w:type="dxa"/>
                  <w:vMerge w:val="continue"/>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p>
              </w:tc>
              <w:tc>
                <w:tcPr>
                  <w:tcW w:w="2101" w:type="dxa"/>
                  <w:tcBorders>
                    <w:tl2br w:val="nil"/>
                    <w:tr2bl w:val="nil"/>
                  </w:tcBorders>
                  <w:vAlign w:val="center"/>
                </w:tcPr>
                <w:p>
                  <w:pPr>
                    <w:pStyle w:val="16"/>
                    <w:ind w:left="0" w:leftChars="0" w:firstLine="0" w:firstLineChars="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下预热器</w:t>
                  </w:r>
                </w:p>
              </w:tc>
              <w:tc>
                <w:tcPr>
                  <w:tcW w:w="807" w:type="dxa"/>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台</w:t>
                  </w:r>
                </w:p>
              </w:tc>
              <w:tc>
                <w:tcPr>
                  <w:tcW w:w="1022" w:type="dxa"/>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2</w:t>
                  </w:r>
                </w:p>
              </w:tc>
              <w:tc>
                <w:tcPr>
                  <w:tcW w:w="2690" w:type="dxa"/>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20m</w:t>
                  </w:r>
                  <w:r>
                    <w:rPr>
                      <w:rFonts w:hint="default" w:ascii="Times New Roman" w:hAnsi="Times New Roman" w:cs="Times New Roman"/>
                      <w:color w:val="auto"/>
                      <w:highlight w:val="none"/>
                      <w:vertAlign w:val="superscript"/>
                      <w:lang w:val="en-US" w:eastAsia="zh-CN"/>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2" w:type="dxa"/>
                  <w:vMerge w:val="continue"/>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p>
              </w:tc>
              <w:tc>
                <w:tcPr>
                  <w:tcW w:w="2101" w:type="dxa"/>
                  <w:tcBorders>
                    <w:tl2br w:val="nil"/>
                    <w:tr2bl w:val="nil"/>
                  </w:tcBorders>
                  <w:vAlign w:val="center"/>
                </w:tcPr>
                <w:p>
                  <w:pPr>
                    <w:pStyle w:val="16"/>
                    <w:ind w:left="0" w:leftChars="0" w:firstLine="0" w:firstLineChars="0"/>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输送泵</w:t>
                  </w:r>
                </w:p>
              </w:tc>
              <w:tc>
                <w:tcPr>
                  <w:tcW w:w="807" w:type="dxa"/>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台</w:t>
                  </w:r>
                </w:p>
              </w:tc>
              <w:tc>
                <w:tcPr>
                  <w:tcW w:w="1022" w:type="dxa"/>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16</w:t>
                  </w:r>
                </w:p>
              </w:tc>
              <w:tc>
                <w:tcPr>
                  <w:tcW w:w="2690" w:type="dxa"/>
                  <w:tcBorders>
                    <w:tl2br w:val="nil"/>
                    <w:tr2bl w:val="nil"/>
                  </w:tcBorders>
                  <w:vAlign w:val="center"/>
                </w:tcPr>
                <w:p>
                  <w:pPr>
                    <w:pStyle w:val="16"/>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8台备用</w:t>
                  </w:r>
                </w:p>
              </w:tc>
            </w:tr>
          </w:tbl>
          <w:p>
            <w:pPr>
              <w:pStyle w:val="16"/>
              <w:rPr>
                <w:rFonts w:hint="default" w:ascii="Times New Roman" w:hAnsi="Times New Roman" w:cs="Times New Roman"/>
                <w:color w:val="auto"/>
                <w:highlight w:val="none"/>
                <w:lang w:val="en-US" w:eastAsia="zh-CN"/>
              </w:rPr>
            </w:pPr>
          </w:p>
          <w:p>
            <w:pPr>
              <w:pStyle w:val="2"/>
              <w:numPr>
                <w:ilvl w:val="1"/>
                <w:numId w:val="3"/>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主要原辅材料</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（1）原辅料</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建成后全厂主要原辅材料见下表。本项目DMF废液来源于废气喷淋塔排水、洗桶废水、沾染物浸泡废水、DMF储罐喷淋水。根据PU树脂厂家提供，PU树脂中DMF含量为55%，同时根据合成革行业DMF废液产生情况及企业现有工程产排污情况，DMF废液的主要成分占比为10.22%，固形份成分占比0.1~0.2%，甲苯＜0.02%，甲酸＜0.02%，水89.54%。</w:t>
            </w:r>
          </w:p>
          <w:p>
            <w:pPr>
              <w:pStyle w:val="1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项目主要原辅材料一览表  单位：t/a</w:t>
            </w:r>
          </w:p>
          <w:tbl>
            <w:tblPr>
              <w:tblStyle w:val="11"/>
              <w:tblW w:w="8640"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3"/>
              <w:gridCol w:w="1957"/>
              <w:gridCol w:w="1165"/>
              <w:gridCol w:w="982"/>
              <w:gridCol w:w="1293"/>
              <w:gridCol w:w="275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dxa"/>
                  <w:tcBorders>
                    <w:tl2br w:val="nil"/>
                    <w:tr2bl w:val="nil"/>
                  </w:tcBorders>
                  <w:vAlign w:val="center"/>
                </w:tcPr>
                <w:p>
                  <w:pPr>
                    <w:adjustRightInd w:val="0"/>
                    <w:snapToGrid w:val="0"/>
                    <w:ind w:left="-105" w:leftChars="-50" w:right="-105" w:rightChars="-5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序号</w:t>
                  </w:r>
                </w:p>
              </w:tc>
              <w:tc>
                <w:tcPr>
                  <w:tcW w:w="1957"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原料名称</w:t>
                  </w:r>
                </w:p>
              </w:tc>
              <w:tc>
                <w:tcPr>
                  <w:tcW w:w="1165"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现有用量</w:t>
                  </w:r>
                </w:p>
              </w:tc>
              <w:tc>
                <w:tcPr>
                  <w:tcW w:w="982" w:type="dxa"/>
                  <w:tcBorders>
                    <w:tl2br w:val="nil"/>
                    <w:tr2bl w:val="nil"/>
                  </w:tcBorders>
                  <w:vAlign w:val="center"/>
                </w:tcPr>
                <w:p>
                  <w:pPr>
                    <w:adjustRightInd w:val="0"/>
                    <w:snapToGrid w:val="0"/>
                    <w:ind w:left="-105" w:leftChars="-50" w:right="-105" w:rightChars="-5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新增用量</w:t>
                  </w:r>
                </w:p>
              </w:tc>
              <w:tc>
                <w:tcPr>
                  <w:tcW w:w="1293" w:type="dxa"/>
                  <w:tcBorders>
                    <w:tl2br w:val="nil"/>
                    <w:tr2bl w:val="nil"/>
                  </w:tcBorders>
                  <w:vAlign w:val="center"/>
                </w:tcPr>
                <w:p>
                  <w:pPr>
                    <w:adjustRightInd w:val="0"/>
                    <w:snapToGrid w:val="0"/>
                    <w:ind w:left="-105" w:leftChars="-50" w:right="-105" w:rightChars="-5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全厂用量</w:t>
                  </w:r>
                </w:p>
              </w:tc>
              <w:tc>
                <w:tcPr>
                  <w:tcW w:w="2750"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val="en-US" w:eastAsia="zh-CN"/>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dxa"/>
                  <w:tcBorders>
                    <w:tl2br w:val="nil"/>
                    <w:tr2bl w:val="nil"/>
                  </w:tcBorders>
                  <w:shd w:val="clear" w:color="auto" w:fill="auto"/>
                  <w:vAlign w:val="center"/>
                </w:tcPr>
                <w:p>
                  <w:pPr>
                    <w:adjustRightInd w:val="0"/>
                    <w:snapToGrid w:val="0"/>
                    <w:ind w:left="-105" w:leftChars="-50" w:right="-105" w:rightChars="-5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1</w:t>
                  </w:r>
                </w:p>
              </w:tc>
              <w:tc>
                <w:tcPr>
                  <w:tcW w:w="1957"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PU树脂</w:t>
                  </w:r>
                </w:p>
              </w:tc>
              <w:tc>
                <w:tcPr>
                  <w:tcW w:w="1165" w:type="dxa"/>
                  <w:tcBorders>
                    <w:tl2br w:val="nil"/>
                    <w:tr2bl w:val="nil"/>
                  </w:tcBorders>
                  <w:vAlign w:val="center"/>
                </w:tcPr>
                <w:p>
                  <w:pPr>
                    <w:adjustRightInd w:val="0"/>
                    <w:snapToGrid w:val="0"/>
                    <w:ind w:left="-105" w:leftChars="-50" w:right="-105" w:rightChars="-5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1000</w:t>
                  </w:r>
                </w:p>
              </w:tc>
              <w:tc>
                <w:tcPr>
                  <w:tcW w:w="982"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0</w:t>
                  </w:r>
                </w:p>
              </w:tc>
              <w:tc>
                <w:tcPr>
                  <w:tcW w:w="1293"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1000</w:t>
                  </w:r>
                </w:p>
              </w:tc>
              <w:tc>
                <w:tcPr>
                  <w:tcW w:w="2750"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外购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dxa"/>
                  <w:tcBorders>
                    <w:tl2br w:val="nil"/>
                    <w:tr2bl w:val="nil"/>
                  </w:tcBorders>
                  <w:shd w:val="clear" w:color="auto" w:fill="auto"/>
                  <w:vAlign w:val="center"/>
                </w:tcPr>
                <w:p>
                  <w:pPr>
                    <w:widowControl/>
                    <w:ind w:left="-105" w:leftChars="-50" w:right="-105" w:rightChars="-5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2</w:t>
                  </w:r>
                </w:p>
              </w:tc>
              <w:tc>
                <w:tcPr>
                  <w:tcW w:w="1957"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色粉</w:t>
                  </w:r>
                </w:p>
              </w:tc>
              <w:tc>
                <w:tcPr>
                  <w:tcW w:w="1165"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9</w:t>
                  </w:r>
                </w:p>
              </w:tc>
              <w:tc>
                <w:tcPr>
                  <w:tcW w:w="982"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0</w:t>
                  </w:r>
                </w:p>
              </w:tc>
              <w:tc>
                <w:tcPr>
                  <w:tcW w:w="1293"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9</w:t>
                  </w:r>
                </w:p>
              </w:tc>
              <w:tc>
                <w:tcPr>
                  <w:tcW w:w="2750" w:type="dxa"/>
                  <w:tcBorders>
                    <w:tl2br w:val="nil"/>
                    <w:tr2bl w:val="nil"/>
                  </w:tcBorders>
                  <w:vAlign w:val="center"/>
                </w:tcPr>
                <w:p>
                  <w:pPr>
                    <w:adjustRightInd w:val="0"/>
                    <w:snapToGrid w:val="0"/>
                    <w:ind w:left="-105" w:leftChars="-50" w:right="-105" w:rightChars="-5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rPr>
                    <w:t>外购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dxa"/>
                  <w:tcBorders>
                    <w:tl2br w:val="nil"/>
                    <w:tr2bl w:val="nil"/>
                  </w:tcBorders>
                  <w:shd w:val="clear" w:color="auto" w:fill="auto"/>
                  <w:vAlign w:val="center"/>
                </w:tcPr>
                <w:p>
                  <w:pPr>
                    <w:widowControl/>
                    <w:ind w:left="-105" w:leftChars="-50" w:right="-105" w:rightChars="-5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3</w:t>
                  </w:r>
                </w:p>
              </w:tc>
              <w:tc>
                <w:tcPr>
                  <w:tcW w:w="1957"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丁酯</w:t>
                  </w:r>
                </w:p>
              </w:tc>
              <w:tc>
                <w:tcPr>
                  <w:tcW w:w="1165"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w:t>
                  </w:r>
                </w:p>
              </w:tc>
              <w:tc>
                <w:tcPr>
                  <w:tcW w:w="982"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0</w:t>
                  </w:r>
                </w:p>
              </w:tc>
              <w:tc>
                <w:tcPr>
                  <w:tcW w:w="1293"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w:t>
                  </w:r>
                </w:p>
              </w:tc>
              <w:tc>
                <w:tcPr>
                  <w:tcW w:w="2750" w:type="dxa"/>
                  <w:tcBorders>
                    <w:tl2br w:val="nil"/>
                    <w:tr2bl w:val="nil"/>
                  </w:tcBorders>
                  <w:vAlign w:val="center"/>
                </w:tcPr>
                <w:p>
                  <w:pPr>
                    <w:adjustRightInd w:val="0"/>
                    <w:snapToGrid w:val="0"/>
                    <w:ind w:left="-105" w:leftChars="-50" w:right="-105" w:rightChars="-5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rPr>
                    <w:t>外购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dxa"/>
                  <w:tcBorders>
                    <w:tl2br w:val="nil"/>
                    <w:tr2bl w:val="nil"/>
                  </w:tcBorders>
                  <w:shd w:val="clear" w:color="auto" w:fill="auto"/>
                  <w:vAlign w:val="center"/>
                </w:tcPr>
                <w:p>
                  <w:pPr>
                    <w:widowControl/>
                    <w:ind w:left="-105" w:leftChars="-50" w:right="-105" w:rightChars="-5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4</w:t>
                  </w:r>
                </w:p>
              </w:tc>
              <w:tc>
                <w:tcPr>
                  <w:tcW w:w="1957"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DMF</w:t>
                  </w:r>
                </w:p>
              </w:tc>
              <w:tc>
                <w:tcPr>
                  <w:tcW w:w="1165"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300</w:t>
                  </w:r>
                </w:p>
              </w:tc>
              <w:tc>
                <w:tcPr>
                  <w:tcW w:w="982"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-300</w:t>
                  </w:r>
                </w:p>
              </w:tc>
              <w:tc>
                <w:tcPr>
                  <w:tcW w:w="1293"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0</w:t>
                  </w:r>
                </w:p>
              </w:tc>
              <w:tc>
                <w:tcPr>
                  <w:tcW w:w="2750"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DMF废液回用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dxa"/>
                  <w:tcBorders>
                    <w:tl2br w:val="nil"/>
                    <w:tr2bl w:val="nil"/>
                  </w:tcBorders>
                  <w:shd w:val="clear" w:color="auto" w:fill="auto"/>
                  <w:vAlign w:val="center"/>
                </w:tcPr>
                <w:p>
                  <w:pPr>
                    <w:widowControl/>
                    <w:ind w:left="-105" w:leftChars="-50" w:right="-105" w:rightChars="-5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w:t>
                  </w:r>
                </w:p>
              </w:tc>
              <w:tc>
                <w:tcPr>
                  <w:tcW w:w="1957"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合成革（贝斯）</w:t>
                  </w:r>
                </w:p>
              </w:tc>
              <w:tc>
                <w:tcPr>
                  <w:tcW w:w="1165"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400万米</w:t>
                  </w:r>
                </w:p>
              </w:tc>
              <w:tc>
                <w:tcPr>
                  <w:tcW w:w="982"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0</w:t>
                  </w:r>
                </w:p>
              </w:tc>
              <w:tc>
                <w:tcPr>
                  <w:tcW w:w="1293"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400万米</w:t>
                  </w:r>
                </w:p>
              </w:tc>
              <w:tc>
                <w:tcPr>
                  <w:tcW w:w="2750"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外购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dxa"/>
                  <w:tcBorders>
                    <w:tl2br w:val="nil"/>
                    <w:tr2bl w:val="nil"/>
                  </w:tcBorders>
                  <w:shd w:val="clear" w:color="auto" w:fill="auto"/>
                  <w:vAlign w:val="center"/>
                </w:tcPr>
                <w:p>
                  <w:pPr>
                    <w:widowControl/>
                    <w:ind w:left="-105" w:leftChars="-50" w:right="-105" w:rightChars="-5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6</w:t>
                  </w:r>
                </w:p>
              </w:tc>
              <w:tc>
                <w:tcPr>
                  <w:tcW w:w="1957"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其他溶剂</w:t>
                  </w:r>
                </w:p>
              </w:tc>
              <w:tc>
                <w:tcPr>
                  <w:tcW w:w="1165"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10</w:t>
                  </w:r>
                </w:p>
              </w:tc>
              <w:tc>
                <w:tcPr>
                  <w:tcW w:w="982"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0</w:t>
                  </w:r>
                </w:p>
              </w:tc>
              <w:tc>
                <w:tcPr>
                  <w:tcW w:w="1293"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10</w:t>
                  </w:r>
                </w:p>
              </w:tc>
              <w:tc>
                <w:tcPr>
                  <w:tcW w:w="2750" w:type="dxa"/>
                  <w:tcBorders>
                    <w:tl2br w:val="nil"/>
                    <w:tr2bl w:val="nil"/>
                  </w:tcBorders>
                  <w:vAlign w:val="center"/>
                </w:tcPr>
                <w:p>
                  <w:pPr>
                    <w:adjustRightInd w:val="0"/>
                    <w:snapToGrid w:val="0"/>
                    <w:ind w:left="-105" w:leftChars="-50" w:right="-105" w:rightChars="-5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rPr>
                    <w:t>外购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dxa"/>
                  <w:tcBorders>
                    <w:tl2br w:val="nil"/>
                    <w:tr2bl w:val="nil"/>
                  </w:tcBorders>
                  <w:shd w:val="clear" w:color="auto" w:fill="auto"/>
                  <w:vAlign w:val="center"/>
                </w:tcPr>
                <w:p>
                  <w:pPr>
                    <w:widowControl/>
                    <w:ind w:left="-105" w:leftChars="-50" w:right="-105" w:rightChars="-5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7</w:t>
                  </w:r>
                </w:p>
              </w:tc>
              <w:tc>
                <w:tcPr>
                  <w:tcW w:w="1957"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木质粉</w:t>
                  </w:r>
                </w:p>
              </w:tc>
              <w:tc>
                <w:tcPr>
                  <w:tcW w:w="1165"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10</w:t>
                  </w:r>
                </w:p>
              </w:tc>
              <w:tc>
                <w:tcPr>
                  <w:tcW w:w="982"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0</w:t>
                  </w:r>
                </w:p>
              </w:tc>
              <w:tc>
                <w:tcPr>
                  <w:tcW w:w="1293"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10</w:t>
                  </w:r>
                </w:p>
              </w:tc>
              <w:tc>
                <w:tcPr>
                  <w:tcW w:w="2750" w:type="dxa"/>
                  <w:tcBorders>
                    <w:tl2br w:val="nil"/>
                    <w:tr2bl w:val="nil"/>
                  </w:tcBorders>
                  <w:vAlign w:val="center"/>
                </w:tcPr>
                <w:p>
                  <w:pPr>
                    <w:adjustRightInd w:val="0"/>
                    <w:snapToGrid w:val="0"/>
                    <w:ind w:left="-105" w:leftChars="-50" w:right="-105" w:rightChars="-5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rPr>
                    <w:t>外购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dxa"/>
                  <w:tcBorders>
                    <w:tl2br w:val="nil"/>
                    <w:tr2bl w:val="nil"/>
                  </w:tcBorders>
                  <w:shd w:val="clear" w:color="auto" w:fill="auto"/>
                  <w:vAlign w:val="center"/>
                </w:tcPr>
                <w:p>
                  <w:pPr>
                    <w:widowControl/>
                    <w:ind w:left="-105" w:leftChars="-50" w:right="-105" w:rightChars="-5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8</w:t>
                  </w:r>
                </w:p>
              </w:tc>
              <w:tc>
                <w:tcPr>
                  <w:tcW w:w="1957"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Ca</w:t>
                  </w:r>
                  <w:r>
                    <w:rPr>
                      <w:rFonts w:hint="default" w:ascii="Times New Roman" w:hAnsi="Times New Roman" w:cs="Times New Roman"/>
                      <w:color w:val="auto"/>
                      <w:kern w:val="2"/>
                      <w:sz w:val="21"/>
                      <w:szCs w:val="21"/>
                      <w:highlight w:val="none"/>
                      <w:vertAlign w:val="subscript"/>
                    </w:rPr>
                    <w:t>2</w:t>
                  </w:r>
                  <w:r>
                    <w:rPr>
                      <w:rFonts w:hint="default" w:ascii="Times New Roman" w:hAnsi="Times New Roman" w:cs="Times New Roman"/>
                      <w:color w:val="auto"/>
                      <w:kern w:val="2"/>
                      <w:sz w:val="21"/>
                      <w:szCs w:val="21"/>
                      <w:highlight w:val="none"/>
                    </w:rPr>
                    <w:t>CO</w:t>
                  </w:r>
                  <w:r>
                    <w:rPr>
                      <w:rFonts w:hint="default" w:ascii="Times New Roman" w:hAnsi="Times New Roman" w:cs="Times New Roman"/>
                      <w:color w:val="auto"/>
                      <w:kern w:val="2"/>
                      <w:sz w:val="21"/>
                      <w:szCs w:val="21"/>
                      <w:highlight w:val="none"/>
                      <w:vertAlign w:val="subscript"/>
                    </w:rPr>
                    <w:t>3</w:t>
                  </w:r>
                </w:p>
              </w:tc>
              <w:tc>
                <w:tcPr>
                  <w:tcW w:w="1165"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100</w:t>
                  </w:r>
                </w:p>
              </w:tc>
              <w:tc>
                <w:tcPr>
                  <w:tcW w:w="982"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0</w:t>
                  </w:r>
                </w:p>
              </w:tc>
              <w:tc>
                <w:tcPr>
                  <w:tcW w:w="1293"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100</w:t>
                  </w:r>
                </w:p>
              </w:tc>
              <w:tc>
                <w:tcPr>
                  <w:tcW w:w="2750" w:type="dxa"/>
                  <w:tcBorders>
                    <w:tl2br w:val="nil"/>
                    <w:tr2bl w:val="nil"/>
                  </w:tcBorders>
                  <w:vAlign w:val="center"/>
                </w:tcPr>
                <w:p>
                  <w:pPr>
                    <w:adjustRightInd w:val="0"/>
                    <w:snapToGrid w:val="0"/>
                    <w:ind w:left="-105" w:leftChars="-50" w:right="-105" w:rightChars="-5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rPr>
                    <w:t>外购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dxa"/>
                  <w:tcBorders>
                    <w:tl2br w:val="nil"/>
                    <w:tr2bl w:val="nil"/>
                  </w:tcBorders>
                  <w:shd w:val="clear" w:color="auto" w:fill="auto"/>
                  <w:vAlign w:val="center"/>
                </w:tcPr>
                <w:p>
                  <w:pPr>
                    <w:widowControl/>
                    <w:ind w:left="-105" w:leftChars="-50" w:right="-105" w:rightChars="-5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9</w:t>
                  </w:r>
                </w:p>
              </w:tc>
              <w:tc>
                <w:tcPr>
                  <w:tcW w:w="1957"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助剂</w:t>
                  </w:r>
                </w:p>
              </w:tc>
              <w:tc>
                <w:tcPr>
                  <w:tcW w:w="1165"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5</w:t>
                  </w:r>
                </w:p>
              </w:tc>
              <w:tc>
                <w:tcPr>
                  <w:tcW w:w="982"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0</w:t>
                  </w:r>
                </w:p>
              </w:tc>
              <w:tc>
                <w:tcPr>
                  <w:tcW w:w="1293"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5</w:t>
                  </w:r>
                </w:p>
              </w:tc>
              <w:tc>
                <w:tcPr>
                  <w:tcW w:w="2750" w:type="dxa"/>
                  <w:tcBorders>
                    <w:tl2br w:val="nil"/>
                    <w:tr2bl w:val="nil"/>
                  </w:tcBorders>
                  <w:vAlign w:val="center"/>
                </w:tcPr>
                <w:p>
                  <w:pPr>
                    <w:adjustRightInd w:val="0"/>
                    <w:snapToGrid w:val="0"/>
                    <w:ind w:left="-105" w:leftChars="-50" w:right="-105" w:rightChars="-5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rPr>
                    <w:t>外购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dxa"/>
                  <w:tcBorders>
                    <w:tl2br w:val="nil"/>
                    <w:tr2bl w:val="nil"/>
                  </w:tcBorders>
                  <w:shd w:val="clear" w:color="auto" w:fill="auto"/>
                  <w:vAlign w:val="center"/>
                </w:tcPr>
                <w:p>
                  <w:pPr>
                    <w:widowControl/>
                    <w:ind w:left="-105" w:leftChars="-50" w:right="-105" w:rightChars="-5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10</w:t>
                  </w:r>
                </w:p>
              </w:tc>
              <w:tc>
                <w:tcPr>
                  <w:tcW w:w="1957"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DMF废液</w:t>
                  </w:r>
                </w:p>
              </w:tc>
              <w:tc>
                <w:tcPr>
                  <w:tcW w:w="1165"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0</w:t>
                  </w:r>
                </w:p>
              </w:tc>
              <w:tc>
                <w:tcPr>
                  <w:tcW w:w="982" w:type="dxa"/>
                  <w:tcBorders>
                    <w:tl2br w:val="nil"/>
                    <w:tr2bl w:val="nil"/>
                  </w:tcBorders>
                  <w:vAlign w:val="center"/>
                </w:tcPr>
                <w:p>
                  <w:pPr>
                    <w:adjustRightInd w:val="0"/>
                    <w:snapToGrid w:val="0"/>
                    <w:ind w:left="-105" w:leftChars="-50" w:right="-105" w:rightChars="-5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8251.2</w:t>
                  </w:r>
                </w:p>
              </w:tc>
              <w:tc>
                <w:tcPr>
                  <w:tcW w:w="1293" w:type="dxa"/>
                  <w:tcBorders>
                    <w:tl2br w:val="nil"/>
                    <w:tr2bl w:val="nil"/>
                  </w:tcBorders>
                  <w:vAlign w:val="center"/>
                </w:tcPr>
                <w:p>
                  <w:pPr>
                    <w:adjustRightInd w:val="0"/>
                    <w:snapToGrid w:val="0"/>
                    <w:ind w:left="-105" w:leftChars="-50" w:right="-105" w:rightChars="-5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8251.2</w:t>
                  </w:r>
                </w:p>
              </w:tc>
              <w:tc>
                <w:tcPr>
                  <w:tcW w:w="2750" w:type="dxa"/>
                  <w:tcBorders>
                    <w:tl2br w:val="nil"/>
                    <w:tr2bl w:val="nil"/>
                  </w:tcBorders>
                  <w:vAlign w:val="center"/>
                </w:tcPr>
                <w:p>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本厂PU合成革生产线产生</w:t>
                  </w:r>
                </w:p>
              </w:tc>
            </w:tr>
          </w:tbl>
          <w:p>
            <w:pPr>
              <w:pStyle w:val="16"/>
              <w:rPr>
                <w:rFonts w:hint="default" w:ascii="Times New Roman" w:hAnsi="Times New Roman" w:cs="Times New Roman"/>
                <w:color w:val="auto"/>
                <w:highlight w:val="none"/>
                <w:lang w:val="en-US" w:eastAsia="zh-CN"/>
              </w:rPr>
            </w:pPr>
          </w:p>
          <w:p>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（2）主要能源消耗</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val="en-US" w:eastAsia="zh-CN"/>
              </w:rPr>
              <w:t>建设</w:t>
            </w:r>
            <w:r>
              <w:rPr>
                <w:rFonts w:hint="default" w:ascii="Times New Roman" w:hAnsi="Times New Roman" w:cs="Times New Roman"/>
                <w:color w:val="auto"/>
                <w:highlight w:val="none"/>
              </w:rPr>
              <w:t>前后主要能源消耗情况见下表。</w:t>
            </w:r>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val="en-US" w:eastAsia="zh-CN"/>
              </w:rPr>
              <w:t>建成</w:t>
            </w:r>
            <w:r>
              <w:rPr>
                <w:rFonts w:hint="default" w:ascii="Times New Roman" w:hAnsi="Times New Roman" w:cs="Times New Roman"/>
                <w:color w:val="auto"/>
                <w:highlight w:val="none"/>
              </w:rPr>
              <w:t>前后主要能耗一览表</w:t>
            </w:r>
          </w:p>
          <w:tbl>
            <w:tblPr>
              <w:tblStyle w:val="11"/>
              <w:tblW w:w="8640"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058"/>
              <w:gridCol w:w="1242"/>
              <w:gridCol w:w="1321"/>
              <w:gridCol w:w="1849"/>
              <w:gridCol w:w="237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96"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058"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1242"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1321"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现有用量</w:t>
                  </w:r>
                </w:p>
              </w:tc>
              <w:tc>
                <w:tcPr>
                  <w:tcW w:w="1849"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本次新增用量</w:t>
                  </w:r>
                </w:p>
              </w:tc>
              <w:tc>
                <w:tcPr>
                  <w:tcW w:w="2374"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全厂总用量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058"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新鲜水</w:t>
                  </w:r>
                </w:p>
              </w:tc>
              <w:tc>
                <w:tcPr>
                  <w:tcW w:w="1242"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t/a</w:t>
                  </w:r>
                </w:p>
              </w:tc>
              <w:tc>
                <w:tcPr>
                  <w:tcW w:w="1321"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18948</w:t>
                  </w:r>
                </w:p>
              </w:tc>
              <w:tc>
                <w:tcPr>
                  <w:tcW w:w="1849"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7286.432</w:t>
                  </w:r>
                </w:p>
              </w:tc>
              <w:tc>
                <w:tcPr>
                  <w:tcW w:w="2374"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11661.568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058"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电</w:t>
                  </w:r>
                </w:p>
              </w:tc>
              <w:tc>
                <w:tcPr>
                  <w:tcW w:w="1242"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万kwh/a</w:t>
                  </w:r>
                </w:p>
              </w:tc>
              <w:tc>
                <w:tcPr>
                  <w:tcW w:w="1321"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336</w:t>
                  </w:r>
                </w:p>
              </w:tc>
              <w:tc>
                <w:tcPr>
                  <w:tcW w:w="1849"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0.72</w:t>
                  </w:r>
                </w:p>
              </w:tc>
              <w:tc>
                <w:tcPr>
                  <w:tcW w:w="2374"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336.72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058"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蒸汽</w:t>
                  </w:r>
                </w:p>
              </w:tc>
              <w:tc>
                <w:tcPr>
                  <w:tcW w:w="1242"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t/a</w:t>
                  </w:r>
                </w:p>
              </w:tc>
              <w:tc>
                <w:tcPr>
                  <w:tcW w:w="1321"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15000</w:t>
                  </w:r>
                </w:p>
              </w:tc>
              <w:tc>
                <w:tcPr>
                  <w:tcW w:w="1849"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2374"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15000</w:t>
                  </w:r>
                </w:p>
              </w:tc>
            </w:tr>
          </w:tbl>
          <w:p>
            <w:pPr>
              <w:pStyle w:val="5"/>
              <w:bidi w:val="0"/>
              <w:spacing w:line="240" w:lineRule="auto"/>
              <w:rPr>
                <w:rFonts w:hint="default" w:ascii="Times New Roman" w:hAnsi="Times New Roman" w:cs="Times New Roman"/>
                <w:color w:val="auto"/>
                <w:highlight w:val="none"/>
                <w:lang w:val="en-US" w:eastAsia="zh-CN"/>
              </w:rPr>
            </w:pPr>
          </w:p>
          <w:p>
            <w:pPr>
              <w:pStyle w:val="2"/>
              <w:numPr>
                <w:ilvl w:val="1"/>
                <w:numId w:val="3"/>
              </w:numPr>
              <w:tabs>
                <w:tab w:val="left" w:pos="420"/>
              </w:tabs>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公用</w:t>
            </w:r>
            <w:r>
              <w:rPr>
                <w:rFonts w:hint="default" w:ascii="Times New Roman" w:hAnsi="Times New Roman" w:eastAsia="宋体" w:cs="Times New Roman"/>
                <w:color w:val="auto"/>
                <w:highlight w:val="none"/>
                <w:lang w:val="en-US" w:eastAsia="zh-CN"/>
              </w:rPr>
              <w:t>工程</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（1）给水工程</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①生活用水</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本项目不新增员工，因此未新增生活用水。</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②生产用水</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本次新增用水主要为设备循环冷凝水，依托现有工程冷却水池及冷却塔，冷却水池容积为200m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vertAlign w:val="baseline"/>
                <w:lang w:val="en-US" w:eastAsia="zh-CN"/>
              </w:rPr>
              <w:t>，本项目新增设备循环水量为</w:t>
            </w:r>
            <w:r>
              <w:rPr>
                <w:rFonts w:hint="eastAsia" w:cs="Times New Roman"/>
                <w:color w:val="auto"/>
                <w:highlight w:val="none"/>
                <w:vertAlign w:val="baseline"/>
                <w:lang w:val="en-US" w:eastAsia="zh-CN"/>
              </w:rPr>
              <w:t>200t/d</w:t>
            </w:r>
            <w:r>
              <w:rPr>
                <w:rFonts w:hint="default" w:ascii="Times New Roman" w:hAnsi="Times New Roman" w:cs="Times New Roman"/>
                <w:color w:val="auto"/>
                <w:highlight w:val="none"/>
                <w:vertAlign w:val="baseline"/>
                <w:lang w:val="en-US" w:eastAsia="zh-CN"/>
              </w:rPr>
              <w:t>，蒸发损耗以</w:t>
            </w:r>
            <w:r>
              <w:rPr>
                <w:rFonts w:hint="eastAsia" w:cs="Times New Roman"/>
                <w:color w:val="auto"/>
                <w:highlight w:val="none"/>
                <w:vertAlign w:val="baseline"/>
                <w:lang w:val="en-US" w:eastAsia="zh-CN"/>
              </w:rPr>
              <w:t>1</w:t>
            </w:r>
            <w:r>
              <w:rPr>
                <w:rFonts w:hint="default" w:ascii="Times New Roman" w:hAnsi="Times New Roman" w:cs="Times New Roman"/>
                <w:color w:val="auto"/>
                <w:highlight w:val="none"/>
                <w:vertAlign w:val="baseline"/>
                <w:lang w:val="en-US" w:eastAsia="zh-CN"/>
              </w:rPr>
              <w:t>%计，因此新鲜水补充量为</w:t>
            </w:r>
            <w:r>
              <w:rPr>
                <w:rFonts w:hint="eastAsia" w:cs="Times New Roman"/>
                <w:color w:val="auto"/>
                <w:highlight w:val="none"/>
                <w:vertAlign w:val="baseline"/>
                <w:lang w:val="en-US" w:eastAsia="zh-CN"/>
              </w:rPr>
              <w:t>5</w:t>
            </w:r>
            <w:r>
              <w:rPr>
                <w:rFonts w:hint="default" w:ascii="Times New Roman" w:hAnsi="Times New Roman" w:cs="Times New Roman"/>
                <w:color w:val="auto"/>
                <w:highlight w:val="none"/>
                <w:vertAlign w:val="baseline"/>
                <w:lang w:val="en-US" w:eastAsia="zh-CN"/>
              </w:rPr>
              <w:t>0t/月（</w:t>
            </w:r>
            <w:r>
              <w:rPr>
                <w:rFonts w:hint="eastAsia" w:cs="Times New Roman"/>
                <w:color w:val="auto"/>
                <w:highlight w:val="none"/>
                <w:vertAlign w:val="baseline"/>
                <w:lang w:val="en-US" w:eastAsia="zh-CN"/>
              </w:rPr>
              <w:t>6000</w:t>
            </w:r>
            <w:r>
              <w:rPr>
                <w:rFonts w:hint="default" w:ascii="Times New Roman" w:hAnsi="Times New Roman" w:cs="Times New Roman"/>
                <w:color w:val="auto"/>
                <w:highlight w:val="none"/>
                <w:vertAlign w:val="baseline"/>
                <w:lang w:val="en-US" w:eastAsia="zh-CN"/>
              </w:rPr>
              <w:t>t/a）。</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现有合成革成产线的DMF废液经精馏回收处理后，将产生成品、不合格品、残渣及冷凝水。</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A.成品</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成品产量约70.019t/月（840.224t/a），DMF含量≥99.5%。</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B.不合格品</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不合格品产生量约7.029t/月（84.352t/a），DMF含量约50%，泵送至DMF废水储罐暂存后与DMF废液再次进行精馏回收。</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C.冷凝水</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冷凝水总产生量为613.415t/月（7360.976t/a），其中约有6.212t/月（74.544t/a）水汽外溢损耗；剩余607.203t/月（7286.432t/a）冷凝水中DMF含量较低，DMF≤0.5%，泵送至回用水储罐暂存后作为喷淋塔喷淋用水。</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D.精馏残渣</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DMF废液中含有0.1~0.2%的固形成分，因此会产生</w:t>
            </w:r>
            <w:r>
              <w:rPr>
                <w:rFonts w:hint="eastAsia" w:cs="Times New Roman"/>
                <w:color w:val="auto"/>
                <w:highlight w:val="none"/>
                <w:lang w:val="en-US" w:eastAsia="zh-CN"/>
              </w:rPr>
              <w:t>精馏残渣，主要成分为固形成分及其他高沸点物质</w:t>
            </w:r>
            <w:r>
              <w:rPr>
                <w:rFonts w:hint="default" w:ascii="Times New Roman" w:hAnsi="Times New Roman" w:cs="Times New Roman"/>
                <w:color w:val="auto"/>
                <w:highlight w:val="none"/>
                <w:lang w:val="en-US" w:eastAsia="zh-CN"/>
              </w:rPr>
              <w:t>，属于HW06（900-409-06）类危险废物，企业定期清理后桶装暂存于危废暂存间，并委托有资质的单位处置。其产生量约4.167t/月（50t/a）。</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结合现有工程用排水情况，本项目及全厂水平衡详见下图。</w:t>
            </w:r>
          </w:p>
          <w:p>
            <w:pPr>
              <w:pStyle w:val="5"/>
              <w:bidi w:val="0"/>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注：</w:t>
            </w:r>
            <w:r>
              <w:rPr>
                <w:rFonts w:hint="eastAsia" w:ascii="Times New Roman" w:hAnsi="Times New Roman" w:cs="Times New Roman"/>
                <w:b/>
                <w:bCs/>
                <w:color w:val="auto"/>
                <w:sz w:val="21"/>
                <w:szCs w:val="21"/>
                <w:highlight w:val="none"/>
                <w:lang w:val="en-US" w:eastAsia="zh-CN"/>
              </w:rPr>
              <w:t>水平衡按现有工程实际废液产生量8251.2t/a核算，</w:t>
            </w:r>
            <w:r>
              <w:rPr>
                <w:rFonts w:hint="default" w:ascii="Times New Roman" w:hAnsi="Times New Roman" w:cs="Times New Roman"/>
                <w:b/>
                <w:bCs/>
                <w:color w:val="auto"/>
                <w:sz w:val="21"/>
                <w:szCs w:val="21"/>
                <w:highlight w:val="none"/>
                <w:lang w:val="en-US" w:eastAsia="zh-CN"/>
              </w:rPr>
              <w:t>因现有工程洗桶废水、沾染物浸泡废水产生规律为每月产生一次，水平衡分析以每月产生量计。</w:t>
            </w:r>
          </w:p>
          <w:p>
            <w:pPr>
              <w:pStyle w:val="17"/>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本项目及全厂水平衡分析图  单位：t/月</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（2）排水工程</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本项目采用雨污分流制，雨水接入园区市政管网，生活污水处理后接市政污水管网进入福鼎市文渡污水处理厂。</w:t>
            </w:r>
          </w:p>
          <w:p>
            <w:pPr>
              <w:pStyle w:val="5"/>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供配电</w:t>
            </w:r>
          </w:p>
          <w:p>
            <w:pPr>
              <w:pStyle w:val="5"/>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本项目供电由园区统一供电</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耗电量约7200kWh/a</w:t>
            </w:r>
            <w:r>
              <w:rPr>
                <w:rFonts w:hint="default" w:ascii="Times New Roman" w:hAnsi="Times New Roman" w:cs="Times New Roman"/>
                <w:color w:val="auto"/>
                <w:highlight w:val="none"/>
                <w:lang w:eastAsia="zh-CN"/>
              </w:rPr>
              <w:t>。</w:t>
            </w:r>
          </w:p>
          <w:p>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供热</w:t>
            </w:r>
          </w:p>
          <w:p>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本项目利用PU合成革生产线的余热蒸汽进行供热，蒸汽温度为100~120℃，工程蒸汽用量为7200t/a，现有工程蒸汽用量为15000t/a，因此现有工程蒸汽余热能够满足本次项目生产需求。</w:t>
            </w:r>
          </w:p>
          <w:p>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（5）储运工程</w:t>
            </w:r>
          </w:p>
          <w:p>
            <w:pPr>
              <w:pStyle w:val="5"/>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本项目原料为DMF废液，储存于厂内已建DMF废水储罐内（150t 2个）；回收后的DMF成品储存于厂内已建DMF储罐（30t 2个）；DMF不合格品暂存于DMF废水储罐后再与DMF废液一同进入设备处理；新增1个50t 回用水储罐用于储存设备冷凝水；产生的精馏残渣经收集至危险废物暂存间。</w:t>
            </w:r>
          </w:p>
          <w:p>
            <w:pPr>
              <w:pStyle w:val="2"/>
              <w:numPr>
                <w:ilvl w:val="1"/>
                <w:numId w:val="3"/>
              </w:numPr>
              <w:tabs>
                <w:tab w:val="left" w:pos="420"/>
              </w:tabs>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DMF平衡</w:t>
            </w:r>
          </w:p>
          <w:p>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本项目的DMF主要来源于废液中所含的溶剂成分，原料DMF带入量843.522t/a，通过DMF回收系统回收840.225t/a（含DMF 836.023t/a），回用厂内PU合成革生产后，剩余出售给树脂厂家，回收率达99%以上。不合格品产生量约84.352t/a（含DMF 42.176t/a），泵送至DMF废水储罐暂存后进入系统内再次处理。冷凝水回用于喷淋塔用水，带出36.432t/a DMF。精馏残渣产生量约50t/a，主要成分为固形物，含少量的DMF，约7.5t/a，收集至危废暂存间后定期委托外运处置。</w:t>
            </w:r>
          </w:p>
          <w:p>
            <w:pPr>
              <w:pStyle w:val="5"/>
              <w:bidi w:val="0"/>
              <w:rPr>
                <w:rFonts w:hint="default" w:ascii="Times New Roman" w:hAnsi="Times New Roman" w:cs="Times New Roman"/>
                <w:color w:val="auto"/>
                <w:highlight w:val="none"/>
                <w:lang w:val="en-US" w:eastAsia="zh-CN"/>
              </w:rPr>
            </w:pPr>
          </w:p>
          <w:p>
            <w:pPr>
              <w:pStyle w:val="5"/>
              <w:bidi w:val="0"/>
              <w:rPr>
                <w:rFonts w:hint="default"/>
                <w:b/>
                <w:bCs/>
                <w:color w:val="auto"/>
                <w:highlight w:val="none"/>
                <w:lang w:val="en-US" w:eastAsia="zh-CN"/>
              </w:rPr>
            </w:pPr>
            <w:r>
              <w:rPr>
                <w:rFonts w:hint="eastAsia"/>
                <w:b/>
                <w:bCs/>
                <w:color w:val="auto"/>
                <w:sz w:val="21"/>
                <w:szCs w:val="21"/>
                <w:highlight w:val="none"/>
                <w:lang w:val="en-US" w:eastAsia="zh-CN"/>
              </w:rPr>
              <w:t>注：</w:t>
            </w:r>
            <w:r>
              <w:rPr>
                <w:rFonts w:hint="eastAsia" w:cs="Times New Roman"/>
                <w:b/>
                <w:bCs/>
                <w:color w:val="auto"/>
                <w:sz w:val="21"/>
                <w:szCs w:val="21"/>
                <w:highlight w:val="none"/>
                <w:lang w:val="en-US" w:eastAsia="zh-CN"/>
              </w:rPr>
              <w:t>DMF</w:t>
            </w:r>
            <w:r>
              <w:rPr>
                <w:rFonts w:hint="eastAsia" w:ascii="Times New Roman" w:hAnsi="Times New Roman" w:cs="Times New Roman"/>
                <w:b/>
                <w:bCs/>
                <w:color w:val="auto"/>
                <w:sz w:val="21"/>
                <w:szCs w:val="21"/>
                <w:highlight w:val="none"/>
                <w:lang w:val="en-US" w:eastAsia="zh-CN"/>
              </w:rPr>
              <w:t>平衡按现有工程实际废液产生量8251.2t/a核算</w:t>
            </w:r>
            <w:r>
              <w:rPr>
                <w:rFonts w:hint="eastAsia" w:cs="Times New Roman"/>
                <w:b/>
                <w:bCs/>
                <w:color w:val="auto"/>
                <w:sz w:val="21"/>
                <w:szCs w:val="21"/>
                <w:highlight w:val="none"/>
                <w:lang w:val="en-US" w:eastAsia="zh-CN"/>
              </w:rPr>
              <w:t>。</w:t>
            </w:r>
          </w:p>
          <w:p>
            <w:pPr>
              <w:pStyle w:val="17"/>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全厂DMF平衡图  单位：t/a</w:t>
            </w:r>
          </w:p>
          <w:p>
            <w:pPr>
              <w:rPr>
                <w:rFonts w:hint="default" w:ascii="Times New Roman" w:hAnsi="Times New Roman" w:cs="Times New Roman"/>
                <w:color w:val="auto"/>
                <w:highlight w:val="none"/>
                <w:lang w:val="en-US" w:eastAsia="zh-CN"/>
              </w:rPr>
            </w:pPr>
          </w:p>
          <w:p>
            <w:pPr>
              <w:pStyle w:val="1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全厂DMF平衡一览表  单位：t/a</w:t>
            </w:r>
          </w:p>
          <w:tbl>
            <w:tblPr>
              <w:tblStyle w:val="12"/>
              <w:tblW w:w="8645"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562"/>
              <w:gridCol w:w="1075"/>
              <w:gridCol w:w="1695"/>
              <w:gridCol w:w="1744"/>
              <w:gridCol w:w="4"/>
              <w:gridCol w:w="144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45" w:type="dxa"/>
                  <w:gridSpan w:val="7"/>
                  <w:tcBorders>
                    <w:top w:val="single" w:color="auto" w:sz="8" w:space="0"/>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项目建成后全厂DMF平衡</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61" w:type="dxa"/>
                  <w:gridSpan w:val="3"/>
                  <w:tcBorders>
                    <w:top w:val="single" w:color="auto" w:sz="8" w:space="0"/>
                    <w:tl2br w:val="nil"/>
                    <w:tr2bl w:val="nil"/>
                  </w:tcBorders>
                  <w:vAlign w:val="center"/>
                </w:tcPr>
                <w:p>
                  <w:pPr>
                    <w:pStyle w:val="16"/>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投入</w:t>
                  </w:r>
                </w:p>
              </w:tc>
              <w:tc>
                <w:tcPr>
                  <w:tcW w:w="4884" w:type="dxa"/>
                  <w:gridSpan w:val="4"/>
                  <w:tcBorders>
                    <w:top w:val="single" w:color="auto" w:sz="8" w:space="0"/>
                    <w:tl2br w:val="nil"/>
                    <w:tr2bl w:val="nil"/>
                  </w:tcBorders>
                  <w:vAlign w:val="center"/>
                </w:tcPr>
                <w:p>
                  <w:pPr>
                    <w:pStyle w:val="16"/>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产出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4" w:type="dxa"/>
                  <w:tcBorders>
                    <w:top w:val="single" w:color="auto" w:sz="8" w:space="0"/>
                    <w:tl2br w:val="nil"/>
                    <w:tr2bl w:val="nil"/>
                  </w:tcBorders>
                  <w:vAlign w:val="center"/>
                </w:tcPr>
                <w:p>
                  <w:pPr>
                    <w:pStyle w:val="16"/>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项目</w:t>
                  </w:r>
                </w:p>
              </w:tc>
              <w:tc>
                <w:tcPr>
                  <w:tcW w:w="1562" w:type="dxa"/>
                  <w:tcBorders>
                    <w:top w:val="single" w:color="auto" w:sz="8" w:space="0"/>
                    <w:tl2br w:val="nil"/>
                    <w:tr2bl w:val="nil"/>
                  </w:tcBorders>
                  <w:vAlign w:val="center"/>
                </w:tcPr>
                <w:p>
                  <w:pPr>
                    <w:pStyle w:val="16"/>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名称</w:t>
                  </w:r>
                </w:p>
              </w:tc>
              <w:tc>
                <w:tcPr>
                  <w:tcW w:w="1075" w:type="dxa"/>
                  <w:tcBorders>
                    <w:top w:val="single" w:color="auto" w:sz="8" w:space="0"/>
                    <w:tl2br w:val="nil"/>
                    <w:tr2bl w:val="nil"/>
                  </w:tcBorders>
                  <w:vAlign w:val="center"/>
                </w:tcPr>
                <w:p>
                  <w:pPr>
                    <w:pStyle w:val="16"/>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用量</w:t>
                  </w:r>
                </w:p>
              </w:tc>
              <w:tc>
                <w:tcPr>
                  <w:tcW w:w="1695" w:type="dxa"/>
                  <w:tcBorders>
                    <w:top w:val="single" w:color="auto" w:sz="8" w:space="0"/>
                    <w:tl2br w:val="nil"/>
                    <w:tr2bl w:val="nil"/>
                  </w:tcBorders>
                  <w:vAlign w:val="center"/>
                </w:tcPr>
                <w:p>
                  <w:pPr>
                    <w:pStyle w:val="16"/>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项目</w:t>
                  </w:r>
                </w:p>
              </w:tc>
              <w:tc>
                <w:tcPr>
                  <w:tcW w:w="1744" w:type="dxa"/>
                  <w:tcBorders>
                    <w:top w:val="single" w:color="auto" w:sz="8" w:space="0"/>
                    <w:tl2br w:val="nil"/>
                    <w:tr2bl w:val="nil"/>
                  </w:tcBorders>
                  <w:vAlign w:val="center"/>
                </w:tcPr>
                <w:p>
                  <w:pPr>
                    <w:pStyle w:val="16"/>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名称</w:t>
                  </w:r>
                </w:p>
              </w:tc>
              <w:tc>
                <w:tcPr>
                  <w:tcW w:w="1445" w:type="dxa"/>
                  <w:gridSpan w:val="2"/>
                  <w:tcBorders>
                    <w:top w:val="single" w:color="auto" w:sz="8" w:space="0"/>
                    <w:tl2br w:val="nil"/>
                    <w:tr2bl w:val="nil"/>
                  </w:tcBorders>
                  <w:vAlign w:val="center"/>
                </w:tcPr>
                <w:p>
                  <w:pPr>
                    <w:pStyle w:val="16"/>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用量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4" w:type="dxa"/>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原辅材料</w:t>
                  </w:r>
                </w:p>
              </w:tc>
              <w:tc>
                <w:tcPr>
                  <w:tcW w:w="156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树脂中含DMF</w:t>
                  </w:r>
                </w:p>
              </w:tc>
              <w:tc>
                <w:tcPr>
                  <w:tcW w:w="1075" w:type="dxa"/>
                  <w:tcBorders>
                    <w:tl2br w:val="nil"/>
                    <w:tr2bl w:val="nil"/>
                  </w:tcBorders>
                  <w:vAlign w:val="center"/>
                </w:tcPr>
                <w:p>
                  <w:pPr>
                    <w:pStyle w:val="16"/>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550</w:t>
                  </w:r>
                </w:p>
              </w:tc>
              <w:tc>
                <w:tcPr>
                  <w:tcW w:w="1695" w:type="dxa"/>
                  <w:vMerge w:val="restart"/>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有机废气</w:t>
                  </w:r>
                </w:p>
              </w:tc>
              <w:tc>
                <w:tcPr>
                  <w:tcW w:w="1748" w:type="dxa"/>
                  <w:gridSpan w:val="2"/>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有组织排放</w:t>
                  </w:r>
                </w:p>
              </w:tc>
              <w:tc>
                <w:tcPr>
                  <w:tcW w:w="1441" w:type="dxa"/>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3.032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4" w:type="dxa"/>
                  <w:vMerge w:val="restart"/>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物料回用</w:t>
                  </w:r>
                </w:p>
              </w:tc>
              <w:tc>
                <w:tcPr>
                  <w:tcW w:w="1562" w:type="dxa"/>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DMF成品</w:t>
                  </w:r>
                </w:p>
              </w:tc>
              <w:tc>
                <w:tcPr>
                  <w:tcW w:w="1075" w:type="dxa"/>
                  <w:tcBorders>
                    <w:tl2br w:val="nil"/>
                    <w:tr2bl w:val="nil"/>
                  </w:tcBorders>
                  <w:vAlign w:val="center"/>
                </w:tcPr>
                <w:p>
                  <w:pPr>
                    <w:pStyle w:val="16"/>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300</w:t>
                  </w:r>
                </w:p>
              </w:tc>
              <w:tc>
                <w:tcPr>
                  <w:tcW w:w="1695" w:type="dxa"/>
                  <w:vMerge w:val="continue"/>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748" w:type="dxa"/>
                  <w:gridSpan w:val="2"/>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无组织排放</w:t>
                  </w:r>
                </w:p>
              </w:tc>
              <w:tc>
                <w:tcPr>
                  <w:tcW w:w="1441" w:type="dxa"/>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3.39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4" w:type="dxa"/>
                  <w:vMerge w:val="continue"/>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562" w:type="dxa"/>
                  <w:tcBorders>
                    <w:tl2br w:val="nil"/>
                    <w:tr2bl w:val="nil"/>
                  </w:tcBorders>
                  <w:vAlign w:val="center"/>
                </w:tcPr>
                <w:p>
                  <w:pPr>
                    <w:pStyle w:val="16"/>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DMF不合格品</w:t>
                  </w:r>
                </w:p>
              </w:tc>
              <w:tc>
                <w:tcPr>
                  <w:tcW w:w="1075" w:type="dxa"/>
                  <w:tcBorders>
                    <w:tl2br w:val="nil"/>
                    <w:tr2bl w:val="nil"/>
                  </w:tcBorders>
                  <w:vAlign w:val="center"/>
                </w:tcPr>
                <w:p>
                  <w:pPr>
                    <w:pStyle w:val="16"/>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 xml:space="preserve">42.176 </w:t>
                  </w:r>
                </w:p>
              </w:tc>
              <w:tc>
                <w:tcPr>
                  <w:tcW w:w="1695" w:type="dxa"/>
                  <w:tcBorders>
                    <w:tl2br w:val="nil"/>
                    <w:tr2bl w:val="nil"/>
                  </w:tcBorders>
                  <w:vAlign w:val="center"/>
                </w:tcPr>
                <w:p>
                  <w:pPr>
                    <w:pStyle w:val="16"/>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成品</w:t>
                  </w:r>
                  <w:r>
                    <w:rPr>
                      <w:rFonts w:hint="default" w:ascii="Times New Roman" w:hAnsi="Times New Roman" w:eastAsia="宋体" w:cs="Times New Roman"/>
                      <w:color w:val="auto"/>
                      <w:sz w:val="21"/>
                      <w:szCs w:val="21"/>
                      <w:highlight w:val="none"/>
                      <w:vertAlign w:val="baseline"/>
                      <w:lang w:val="en-US" w:eastAsia="zh-CN"/>
                    </w:rPr>
                    <w:t>外售</w:t>
                  </w:r>
                </w:p>
              </w:tc>
              <w:tc>
                <w:tcPr>
                  <w:tcW w:w="1748" w:type="dxa"/>
                  <w:gridSpan w:val="2"/>
                  <w:tcBorders>
                    <w:tl2br w:val="nil"/>
                    <w:tr2bl w:val="nil"/>
                  </w:tcBorders>
                  <w:vAlign w:val="center"/>
                </w:tcPr>
                <w:p>
                  <w:pPr>
                    <w:pStyle w:val="16"/>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DMF成品</w:t>
                  </w:r>
                </w:p>
              </w:tc>
              <w:tc>
                <w:tcPr>
                  <w:tcW w:w="144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536.023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4" w:type="dxa"/>
                  <w:vMerge w:val="continue"/>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562" w:type="dxa"/>
                  <w:tcBorders>
                    <w:tl2br w:val="nil"/>
                    <w:tr2bl w:val="nil"/>
                  </w:tcBorders>
                  <w:vAlign w:val="center"/>
                </w:tcPr>
                <w:p>
                  <w:pPr>
                    <w:pStyle w:val="16"/>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冷凝水含DMF</w:t>
                  </w:r>
                </w:p>
              </w:tc>
              <w:tc>
                <w:tcPr>
                  <w:tcW w:w="1075" w:type="dxa"/>
                  <w:tcBorders>
                    <w:tl2br w:val="nil"/>
                    <w:tr2bl w:val="nil"/>
                  </w:tcBorders>
                  <w:vAlign w:val="center"/>
                </w:tcPr>
                <w:p>
                  <w:pPr>
                    <w:pStyle w:val="16"/>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36.432</w:t>
                  </w:r>
                </w:p>
              </w:tc>
              <w:tc>
                <w:tcPr>
                  <w:tcW w:w="1695" w:type="dxa"/>
                  <w:vMerge w:val="restart"/>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回用物料</w:t>
                  </w:r>
                </w:p>
              </w:tc>
              <w:tc>
                <w:tcPr>
                  <w:tcW w:w="1748" w:type="dxa"/>
                  <w:gridSpan w:val="2"/>
                  <w:tcBorders>
                    <w:tl2br w:val="nil"/>
                    <w:tr2bl w:val="nil"/>
                  </w:tcBorders>
                  <w:vAlign w:val="center"/>
                </w:tcPr>
                <w:p>
                  <w:pPr>
                    <w:pStyle w:val="16"/>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DMF成品</w:t>
                  </w:r>
                </w:p>
              </w:tc>
              <w:tc>
                <w:tcPr>
                  <w:tcW w:w="144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4" w:type="dxa"/>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562" w:type="dxa"/>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075" w:type="dxa"/>
                  <w:tcBorders>
                    <w:tl2br w:val="nil"/>
                    <w:tr2bl w:val="nil"/>
                  </w:tcBorders>
                  <w:vAlign w:val="center"/>
                </w:tcPr>
                <w:p>
                  <w:pPr>
                    <w:pStyle w:val="16"/>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1695"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p>
              </w:tc>
              <w:tc>
                <w:tcPr>
                  <w:tcW w:w="1748" w:type="dxa"/>
                  <w:gridSpan w:val="2"/>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DMF不合格品</w:t>
                  </w:r>
                </w:p>
              </w:tc>
              <w:tc>
                <w:tcPr>
                  <w:tcW w:w="144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42.176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4" w:type="dxa"/>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562" w:type="dxa"/>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075" w:type="dxa"/>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695" w:type="dxa"/>
                  <w:vMerge w:val="continue"/>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748" w:type="dxa"/>
                  <w:gridSpan w:val="2"/>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冷凝水含DMF</w:t>
                  </w:r>
                </w:p>
              </w:tc>
              <w:tc>
                <w:tcPr>
                  <w:tcW w:w="1441" w:type="dxa"/>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cs="Times New Roman"/>
                      <w:i w:val="0"/>
                      <w:iCs w:val="0"/>
                      <w:color w:val="auto"/>
                      <w:kern w:val="0"/>
                      <w:sz w:val="21"/>
                      <w:szCs w:val="21"/>
                      <w:highlight w:val="none"/>
                      <w:u w:val="none"/>
                      <w:lang w:val="en-US" w:eastAsia="zh-CN" w:bidi="ar"/>
                    </w:rPr>
                    <w:t>6.432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4" w:type="dxa"/>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562" w:type="dxa"/>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075" w:type="dxa"/>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695" w:type="dxa"/>
                  <w:vMerge w:val="restart"/>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固废</w:t>
                  </w:r>
                </w:p>
              </w:tc>
              <w:tc>
                <w:tcPr>
                  <w:tcW w:w="1748" w:type="dxa"/>
                  <w:gridSpan w:val="2"/>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精馏残渣含DMF</w:t>
                  </w:r>
                </w:p>
              </w:tc>
              <w:tc>
                <w:tcPr>
                  <w:tcW w:w="1441" w:type="dxa"/>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4" w:type="dxa"/>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562" w:type="dxa"/>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075" w:type="dxa"/>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695" w:type="dxa"/>
                  <w:vMerge w:val="continue"/>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748" w:type="dxa"/>
                  <w:gridSpan w:val="2"/>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洗桶残渣</w:t>
                  </w:r>
                </w:p>
              </w:tc>
              <w:tc>
                <w:tcPr>
                  <w:tcW w:w="1441" w:type="dxa"/>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0.055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86" w:type="dxa"/>
                  <w:gridSpan w:val="2"/>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合计</w:t>
                  </w:r>
                </w:p>
              </w:tc>
              <w:tc>
                <w:tcPr>
                  <w:tcW w:w="1075" w:type="dxa"/>
                  <w:tcBorders>
                    <w:tl2br w:val="nil"/>
                    <w:tr2bl w:val="nil"/>
                  </w:tcBorders>
                  <w:vAlign w:val="center"/>
                </w:tcPr>
                <w:p>
                  <w:pPr>
                    <w:pStyle w:val="16"/>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928.608</w:t>
                  </w:r>
                </w:p>
              </w:tc>
              <w:tc>
                <w:tcPr>
                  <w:tcW w:w="3443" w:type="dxa"/>
                  <w:gridSpan w:val="3"/>
                  <w:tcBorders>
                    <w:tl2br w:val="nil"/>
                    <w:tr2bl w:val="nil"/>
                  </w:tcBorders>
                  <w:vAlign w:val="center"/>
                </w:tcPr>
                <w:p>
                  <w:pPr>
                    <w:pStyle w:val="16"/>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合计</w:t>
                  </w:r>
                </w:p>
              </w:tc>
              <w:tc>
                <w:tcPr>
                  <w:tcW w:w="1441" w:type="dxa"/>
                  <w:tcBorders>
                    <w:tl2br w:val="nil"/>
                    <w:tr2bl w:val="nil"/>
                  </w:tcBorders>
                  <w:vAlign w:val="center"/>
                </w:tcPr>
                <w:p>
                  <w:pPr>
                    <w:pStyle w:val="16"/>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928.608</w:t>
                  </w:r>
                </w:p>
              </w:tc>
            </w:tr>
          </w:tbl>
          <w:p>
            <w:pPr>
              <w:rPr>
                <w:rFonts w:hint="default" w:ascii="Times New Roman" w:hAnsi="Times New Roman" w:cs="Times New Roman"/>
                <w:color w:val="auto"/>
                <w:highlight w:val="none"/>
                <w:lang w:val="en-US" w:eastAsia="zh-CN"/>
              </w:rPr>
            </w:pPr>
          </w:p>
          <w:p>
            <w:pPr>
              <w:pStyle w:val="2"/>
              <w:numPr>
                <w:ilvl w:val="1"/>
                <w:numId w:val="3"/>
              </w:numPr>
              <w:tabs>
                <w:tab w:val="left" w:pos="420"/>
              </w:tabs>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总平面布置</w:t>
            </w:r>
          </w:p>
          <w:p>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于厂区内空地新增两套DMF废液回收处理设备，其中设备（1）设置于2#喷淋塔旁，设备（2）位于3#喷淋塔旁，紧靠生产车间。生产车间蒸汽余热可直接接入DMF废液回收处理设备，蒸汽运输管道短，最大程度减少了蒸汽损耗，避免热能浪费。蒸馏产生的外溢水汽就近接入与设备相邻的喷淋塔进行处理，通过17m高排气筒排放。回用水储罐设于两台设备中间，缩短了输送管道，物料流向顺畅。同时，本项目运营期噪声通过采取有效措施后能够满足排放标准限值，对周边环境影响较小，设备布局在工艺和环境影响角度较为合理。</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因此本项目充分利用现有工程辅助工程及环保工程，避免重复建设，有效节约建设投资成本。总平面布置图详见附图3。</w:t>
            </w:r>
          </w:p>
        </w:tc>
      </w:tr>
      <w:bookmarkEnd w:id="3"/>
    </w:tbl>
    <w:p>
      <w:pPr>
        <w:rPr>
          <w:rFonts w:hint="default" w:ascii="Times New Roman" w:hAnsi="Times New Roman" w:cs="Times New Roman"/>
          <w:color w:val="auto"/>
          <w:highlight w:val="none"/>
        </w:rPr>
        <w:sectPr>
          <w:pgSz w:w="11905" w:h="16838"/>
          <w:pgMar w:top="1417" w:right="1417" w:bottom="1417" w:left="1417" w:header="851" w:footer="1077" w:gutter="0"/>
          <w:pgBorders>
            <w:top w:val="none" w:sz="0" w:space="0"/>
            <w:left w:val="none" w:sz="0" w:space="0"/>
            <w:bottom w:val="none" w:sz="0" w:space="0"/>
            <w:right w:val="none" w:sz="0" w:space="0"/>
          </w:pgBorders>
          <w:pgNumType w:fmt="numberInDash"/>
          <w:cols w:space="0" w:num="1"/>
          <w:docGrid w:linePitch="312" w:charSpace="0"/>
        </w:sectPr>
      </w:pPr>
    </w:p>
    <w:tbl>
      <w:tblPr>
        <w:tblStyle w:val="11"/>
        <w:tblW w:w="971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426" w:type="dxa"/>
            <w:vAlign w:val="center"/>
          </w:tcPr>
          <w:p>
            <w:pPr>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工艺流程和产排污环节</w:t>
            </w:r>
          </w:p>
        </w:tc>
        <w:tc>
          <w:tcPr>
            <w:tcW w:w="9288" w:type="dxa"/>
          </w:tcPr>
          <w:p>
            <w:pPr>
              <w:pStyle w:val="2"/>
              <w:numPr>
                <w:ilvl w:val="1"/>
                <w:numId w:val="4"/>
              </w:numPr>
              <w:tabs>
                <w:tab w:val="left" w:pos="420"/>
              </w:tabs>
              <w:rPr>
                <w:rFonts w:hint="default" w:ascii="Times New Roman" w:hAnsi="Times New Roman" w:cs="Times New Roman"/>
                <w:color w:val="auto"/>
                <w:highlight w:val="none"/>
              </w:rPr>
            </w:pPr>
            <w:bookmarkStart w:id="4" w:name="_Toc30849"/>
            <w:bookmarkStart w:id="5" w:name="_Toc20890"/>
            <w:bookmarkStart w:id="6" w:name="_Toc19480"/>
            <w:bookmarkStart w:id="7" w:name="_Toc2298"/>
            <w:r>
              <w:rPr>
                <w:rFonts w:hint="default" w:ascii="Times New Roman" w:hAnsi="Times New Roman" w:cs="Times New Roman"/>
                <w:color w:val="auto"/>
                <w:highlight w:val="none"/>
              </w:rPr>
              <w:t>主要工艺流程及产污环节</w:t>
            </w:r>
            <w:bookmarkEnd w:id="4"/>
            <w:bookmarkEnd w:id="5"/>
            <w:bookmarkEnd w:id="6"/>
            <w:bookmarkEnd w:id="7"/>
          </w:p>
          <w:p>
            <w:pPr>
              <w:pStyle w:val="5"/>
              <w:numPr>
                <w:ilvl w:val="0"/>
                <w:numId w:val="0"/>
              </w:numPr>
              <w:ind w:leftChars="20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工艺流程</w:t>
            </w:r>
            <w:r>
              <w:rPr>
                <w:rFonts w:hint="default" w:ascii="Times New Roman" w:hAnsi="Times New Roman" w:cs="Times New Roman"/>
                <w:color w:val="auto"/>
                <w:highlight w:val="none"/>
                <w:lang w:val="en-US" w:eastAsia="zh-CN"/>
              </w:rPr>
              <w:t>及原理</w:t>
            </w:r>
          </w:p>
          <w:p>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本项目采用蒸汽尾水低温蒸馏DMF废液回收处理设备，工艺流程见下图。</w:t>
            </w:r>
          </w:p>
          <w:p>
            <w:pPr>
              <w:pStyle w:val="17"/>
              <w:numPr>
                <w:ilvl w:val="8"/>
                <w:numId w:val="5"/>
              </w:numPr>
              <w:rPr>
                <w:rFonts w:hint="default" w:ascii="Times New Roman" w:hAnsi="Times New Roman" w:cs="Times New Roman"/>
                <w:color w:val="auto"/>
                <w:highlight w:val="none"/>
              </w:rPr>
            </w:pPr>
            <w:bookmarkStart w:id="8" w:name="_Ref4827"/>
            <w:bookmarkEnd w:id="8"/>
            <w:r>
              <w:rPr>
                <w:rFonts w:hint="default" w:ascii="Times New Roman" w:hAnsi="Times New Roman" w:cs="Times New Roman"/>
                <w:color w:val="auto"/>
                <w:highlight w:val="none"/>
              </w:rPr>
              <w:t>工艺流程图</w:t>
            </w:r>
          </w:p>
          <w:p>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DMF废液通过输送泵运输至上进行预热，预热后的液体进入下预热器进行二次预热，水蒸气进入冷凝器内冷凝，冷凝后的水运输至厂区回用水储罐内储存，用于补充喷淋塔的喷淋用水。</w:t>
            </w:r>
          </w:p>
          <w:p>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MF废液经二次预热后进入超重力精馏床内进行气液分离。超重力精馏床采用离心力来提高气液相间接触面积和传质速率，具有特定结构的转子在机体内高速旋转，气相由气体进入机内，从转子外缘进入转子内，液相由进液口进入转子中心，气液两相在转子内形成比表面积较大而又不断更新的气液界面，具有较高的传质速率。然后气相经出气口离开床体回流至上预热器；液相在机内收集后由出液口引出进入再沸器。再沸器将液体中水进一步升温汽化，对DMF进行提纯，提纯后的成品中DMF浓度可达99.5%以上，泵送至DMF储罐，水蒸气回流至超重力精馏床内；此过程中可能产生不合格品，DMF</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泵送至DMF废水储罐暂存后进入系统内再次处理。精馏气液分离后重力床底部将有S1残渣，主要来源于DMF废液中的固形成分，收集后暂存危险废物暂存间后定期委托有资质的单位外运处置。</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整个系统温度在80-100℃，蒸馏分离过程中DMF废液不会分解产生甲酸和二甲胺，同时，在</w:t>
            </w:r>
            <w:r>
              <w:rPr>
                <w:rFonts w:hint="eastAsia" w:cs="Times New Roman"/>
                <w:color w:val="auto"/>
                <w:highlight w:val="none"/>
                <w:lang w:val="en-US" w:eastAsia="zh-CN"/>
              </w:rPr>
              <w:t>设备</w:t>
            </w:r>
            <w:r>
              <w:rPr>
                <w:rFonts w:hint="default" w:ascii="Times New Roman" w:hAnsi="Times New Roman" w:cs="Times New Roman"/>
                <w:color w:val="auto"/>
                <w:highlight w:val="none"/>
                <w:lang w:val="en-US" w:eastAsia="zh-CN"/>
              </w:rPr>
              <w:t>会有一部分水汽外溢，水汽中可能夹带极少量的DMF，通往喷淋塔进行处理。本项目设置2套DMF废液回收处理设备，其中设备（1）位于2#喷淋塔旁，尾气经收集后引至2#喷淋塔处理后通过17m高排气筒排放（DA002），设备（2）位于3#喷淋塔旁，尾气经收集后引至3#喷淋塔处理后通过17m高排气筒排放（DA003）。</w:t>
            </w:r>
          </w:p>
          <w:p>
            <w:pPr>
              <w:pStyle w:val="5"/>
              <w:numPr>
                <w:ilvl w:val="0"/>
                <w:numId w:val="0"/>
              </w:numPr>
              <w:ind w:leftChars="200"/>
              <w:rPr>
                <w:rFonts w:hint="eastAsia"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2</w:t>
            </w:r>
            <w:r>
              <w:rPr>
                <w:rFonts w:hint="eastAsia" w:cs="Times New Roman"/>
                <w:color w:val="auto"/>
                <w:highlight w:val="none"/>
                <w:lang w:eastAsia="zh-CN"/>
              </w:rPr>
              <w:t>）</w:t>
            </w:r>
            <w:r>
              <w:rPr>
                <w:rFonts w:hint="eastAsia" w:cs="Times New Roman"/>
                <w:color w:val="auto"/>
                <w:highlight w:val="none"/>
                <w:lang w:val="en-US" w:eastAsia="zh-CN"/>
              </w:rPr>
              <w:t>设备工艺先进性分析</w:t>
            </w:r>
          </w:p>
          <w:p>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本项目采用的是蒸汽尾水低温蒸馏DMF废液回收处理设备，回收率可达99%以上，其相较于传统DMF精馏塔具有以下优点</w:t>
            </w:r>
            <w:r>
              <w:rPr>
                <w:rFonts w:hint="eastAsia" w:cs="Times New Roman"/>
                <w:color w:val="auto"/>
                <w:highlight w:val="none"/>
                <w:lang w:val="en-US" w:eastAsia="zh-CN"/>
              </w:rPr>
              <w:t>（与福鼎市龙安化工园区DMF集中精馏塔工艺对比详见表12）</w:t>
            </w:r>
            <w:r>
              <w:rPr>
                <w:rFonts w:hint="default" w:ascii="Times New Roman" w:hAnsi="Times New Roman" w:cs="Times New Roman"/>
                <w:color w:val="auto"/>
                <w:highlight w:val="none"/>
                <w:lang w:val="en-US" w:eastAsia="zh-CN"/>
              </w:rPr>
              <w:t>：</w:t>
            </w:r>
          </w:p>
          <w:p>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①采用低温蒸馏技术，工艺操作更安全。传统精馏塔塔釜温度达到180℃，而该设备系统温度仅80-100℃，不具有高温高压危险性，生产员工操作较更加安全，同时在低温状态下避免DMF了分解生成甲酸和二甲胺。</w:t>
            </w:r>
          </w:p>
          <w:p>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投资建设运行成本更低、能耗低。由于低温避免了甲酸和二甲胺的生成，DMF精馏后不需再进行脱胺、脱酸，减少了脱氨塔和脱酸塔的建设和运行成本，连续性精馏与传统塔相比具有更低能耗和更高的效率。同时设备能耗较传统塔可节省25%，本项目供热采用生产线蒸汽余热，冷凝水回用于喷淋塔用水，能最大程度降低设备能耗。</w:t>
            </w:r>
          </w:p>
          <w:p>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③占地面积小。在相同操作工艺条件下，与传统塔相比，传质单元高度降低了1-2个数量级，可将塔的高度和直径都缩小。设备总体高度不超过6m，1.3米高的超重力相当于25米高的常用精馏塔，设备投资更省，开停车也更加方便。</w:t>
            </w:r>
          </w:p>
          <w:p>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④污染物排放量少，实现废水零排放。设备尾气主要为水汽外溢，</w:t>
            </w:r>
            <w:r>
              <w:rPr>
                <w:rFonts w:hint="eastAsia" w:cs="Times New Roman"/>
                <w:color w:val="auto"/>
                <w:highlight w:val="none"/>
                <w:lang w:val="en-US" w:eastAsia="zh-CN"/>
              </w:rPr>
              <w:t>尾气</w:t>
            </w:r>
            <w:r>
              <w:rPr>
                <w:rFonts w:hint="default" w:ascii="Times New Roman" w:hAnsi="Times New Roman" w:cs="Times New Roman"/>
                <w:color w:val="auto"/>
                <w:highlight w:val="none"/>
                <w:lang w:val="en-US" w:eastAsia="zh-CN"/>
              </w:rPr>
              <w:t>产生量少</w:t>
            </w:r>
            <w:r>
              <w:rPr>
                <w:rFonts w:hint="eastAsia" w:cs="Times New Roman"/>
                <w:color w:val="auto"/>
                <w:highlight w:val="none"/>
                <w:lang w:val="en-US" w:eastAsia="zh-CN"/>
              </w:rPr>
              <w:t>且干净，理论上无DMF，本评价考虑尾气中可能含有极少量的DMF，</w:t>
            </w:r>
            <w:r>
              <w:rPr>
                <w:rFonts w:hint="default" w:ascii="Times New Roman" w:hAnsi="Times New Roman" w:cs="Times New Roman"/>
                <w:color w:val="auto"/>
                <w:highlight w:val="none"/>
                <w:lang w:val="en-US" w:eastAsia="zh-CN"/>
              </w:rPr>
              <w:t>计入福建瑞峰革业有限公司以新带老削减后，未新增废气排放量；冷凝水回用于喷淋塔用水实现零排放；精馏残渣经收集暂存后委托有资质的单位处置，不排放至外环境。</w:t>
            </w:r>
          </w:p>
          <w:p>
            <w:pPr>
              <w:pStyle w:val="15"/>
              <w:bidi w:val="0"/>
              <w:rPr>
                <w:rFonts w:hint="default"/>
                <w:lang w:val="en-US" w:eastAsia="zh-CN"/>
              </w:rPr>
            </w:pPr>
            <w:r>
              <w:rPr>
                <w:rFonts w:hint="eastAsia"/>
                <w:lang w:val="en-US" w:eastAsia="zh-CN"/>
              </w:rPr>
              <w:t>与传统DMF精馏塔工艺对比一览表</w:t>
            </w:r>
          </w:p>
          <w:tbl>
            <w:tblPr>
              <w:tblStyle w:val="11"/>
              <w:tblW w:w="0" w:type="auto"/>
              <w:tblInd w:w="0" w:type="dxa"/>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10"/>
              <w:gridCol w:w="2874"/>
              <w:gridCol w:w="3253"/>
              <w:gridCol w:w="2817"/>
              <w:gridCol w:w="10"/>
            </w:tblGrid>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gridAfter w:val="1"/>
                <w:wAfter w:w="10" w:type="dxa"/>
                <w:trHeight w:val="340" w:hRule="atLeast"/>
              </w:trPr>
              <w:tc>
                <w:tcPr>
                  <w:tcW w:w="2884"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项目</w:t>
                  </w:r>
                </w:p>
              </w:tc>
              <w:tc>
                <w:tcPr>
                  <w:tcW w:w="32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福建瑞峰革业有限公司</w:t>
                  </w:r>
                  <w:r>
                    <w:rPr>
                      <w:rFonts w:hint="default" w:ascii="Times New Roman" w:hAnsi="Times New Roman" w:cs="Times New Roman"/>
                      <w:color w:val="auto"/>
                      <w:highlight w:val="none"/>
                      <w:lang w:val="en-US" w:eastAsia="zh-CN"/>
                    </w:rPr>
                    <w:t>蒸汽尾水低温蒸馏DMF废液回收处理设备</w:t>
                  </w:r>
                </w:p>
              </w:tc>
              <w:tc>
                <w:tcPr>
                  <w:tcW w:w="28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福建大成皮业有限公司</w:t>
                  </w:r>
                  <w:r>
                    <w:rPr>
                      <w:rFonts w:hint="eastAsia" w:ascii="Times New Roman" w:hAnsi="Times New Roman" w:eastAsia="宋体" w:cs="Times New Roman"/>
                      <w:i w:val="0"/>
                      <w:iCs w:val="0"/>
                      <w:color w:val="000000"/>
                      <w:kern w:val="0"/>
                      <w:sz w:val="21"/>
                      <w:szCs w:val="21"/>
                      <w:u w:val="none"/>
                      <w:lang w:val="en-US" w:eastAsia="zh-CN" w:bidi="ar"/>
                    </w:rPr>
                    <w:t>DMF</w:t>
                  </w:r>
                  <w:r>
                    <w:rPr>
                      <w:rFonts w:hint="eastAsia" w:cs="Times New Roman"/>
                      <w:i w:val="0"/>
                      <w:iCs w:val="0"/>
                      <w:color w:val="000000"/>
                      <w:kern w:val="0"/>
                      <w:sz w:val="21"/>
                      <w:szCs w:val="21"/>
                      <w:u w:val="none"/>
                      <w:lang w:val="en-US" w:eastAsia="zh-CN" w:bidi="ar"/>
                    </w:rPr>
                    <w:t>五塔三效</w:t>
                  </w:r>
                  <w:r>
                    <w:rPr>
                      <w:rFonts w:hint="eastAsia" w:ascii="Times New Roman" w:hAnsi="Times New Roman" w:eastAsia="宋体" w:cs="Times New Roman"/>
                      <w:i w:val="0"/>
                      <w:iCs w:val="0"/>
                      <w:color w:val="000000"/>
                      <w:kern w:val="0"/>
                      <w:sz w:val="21"/>
                      <w:szCs w:val="21"/>
                      <w:u w:val="none"/>
                      <w:lang w:val="en-US" w:eastAsia="zh-CN" w:bidi="ar"/>
                    </w:rPr>
                    <w:t>精馏回收装置</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gridAfter w:val="1"/>
                <w:wAfter w:w="10" w:type="dxa"/>
                <w:trHeight w:val="340" w:hRule="atLeast"/>
              </w:trPr>
              <w:tc>
                <w:tcPr>
                  <w:tcW w:w="2884"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4"/>
                      <w:rFonts w:hint="default" w:ascii="Times New Roman" w:hAnsi="Times New Roman" w:cs="Times New Roman"/>
                      <w:sz w:val="21"/>
                      <w:szCs w:val="21"/>
                      <w:lang w:val="en-US" w:eastAsia="zh-CN" w:bidi="ar"/>
                    </w:rPr>
                    <w:t>处理量</w:t>
                  </w:r>
                  <w:r>
                    <w:rPr>
                      <w:rStyle w:val="24"/>
                      <w:rFonts w:hint="eastAsia" w:ascii="Times New Roman" w:hAnsi="Times New Roman" w:cs="Times New Roman"/>
                      <w:sz w:val="21"/>
                      <w:szCs w:val="21"/>
                      <w:lang w:val="en-US" w:eastAsia="zh-CN" w:bidi="ar"/>
                    </w:rPr>
                    <w:t xml:space="preserve"> </w:t>
                  </w:r>
                  <w:r>
                    <w:rPr>
                      <w:rStyle w:val="25"/>
                      <w:rFonts w:hint="default" w:ascii="Times New Roman" w:hAnsi="Times New Roman" w:eastAsia="宋体" w:cs="Times New Roman"/>
                      <w:sz w:val="21"/>
                      <w:szCs w:val="21"/>
                      <w:lang w:val="en-US" w:eastAsia="zh-CN" w:bidi="ar"/>
                    </w:rPr>
                    <w:t>t/a</w:t>
                  </w:r>
                </w:p>
              </w:tc>
              <w:tc>
                <w:tcPr>
                  <w:tcW w:w="32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25"/>
                      <w:rFonts w:hint="default" w:ascii="Times New Roman" w:hAnsi="Times New Roman" w:eastAsia="宋体" w:cs="Times New Roman"/>
                      <w:sz w:val="21"/>
                      <w:szCs w:val="21"/>
                      <w:lang w:val="en-US" w:eastAsia="zh-CN" w:bidi="ar"/>
                    </w:rPr>
                    <w:t>8251.2</w:t>
                  </w:r>
                  <w:r>
                    <w:rPr>
                      <w:rStyle w:val="24"/>
                      <w:rFonts w:hint="default" w:ascii="Times New Roman" w:hAnsi="Times New Roman" w:cs="Times New Roman"/>
                      <w:sz w:val="21"/>
                      <w:szCs w:val="21"/>
                      <w:lang w:val="en-US" w:eastAsia="zh-CN" w:bidi="ar"/>
                    </w:rPr>
                    <w:t>（</w:t>
                  </w:r>
                  <w:r>
                    <w:rPr>
                      <w:rStyle w:val="24"/>
                      <w:rFonts w:hint="eastAsia" w:ascii="Times New Roman" w:hAnsi="Times New Roman" w:cs="Times New Roman"/>
                      <w:sz w:val="21"/>
                      <w:szCs w:val="21"/>
                      <w:lang w:val="en-US" w:eastAsia="zh-CN" w:bidi="ar"/>
                    </w:rPr>
                    <w:t xml:space="preserve">DMF </w:t>
                  </w:r>
                  <w:r>
                    <w:rPr>
                      <w:rStyle w:val="25"/>
                      <w:rFonts w:hint="default" w:ascii="Times New Roman" w:hAnsi="Times New Roman" w:eastAsia="宋体" w:cs="Times New Roman"/>
                      <w:sz w:val="21"/>
                      <w:szCs w:val="21"/>
                      <w:lang w:val="en-US" w:eastAsia="zh-CN" w:bidi="ar"/>
                    </w:rPr>
                    <w:t>843.522</w:t>
                  </w:r>
                  <w:r>
                    <w:rPr>
                      <w:rStyle w:val="24"/>
                      <w:rFonts w:hint="default" w:ascii="Times New Roman" w:hAnsi="Times New Roman" w:cs="Times New Roman"/>
                      <w:sz w:val="21"/>
                      <w:szCs w:val="21"/>
                      <w:lang w:val="en-US" w:eastAsia="zh-CN" w:bidi="ar"/>
                    </w:rPr>
                    <w:t>）</w:t>
                  </w:r>
                </w:p>
              </w:tc>
              <w:tc>
                <w:tcPr>
                  <w:tcW w:w="28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180000</w:t>
                  </w:r>
                  <w:r>
                    <w:rPr>
                      <w:rFonts w:hint="eastAsia" w:ascii="Times New Roman" w:hAnsi="Times New Roman" w:eastAsia="宋体" w:cs="Times New Roman"/>
                      <w:i w:val="0"/>
                      <w:iCs w:val="0"/>
                      <w:color w:val="000000"/>
                      <w:kern w:val="0"/>
                      <w:sz w:val="21"/>
                      <w:szCs w:val="21"/>
                      <w:u w:val="none"/>
                      <w:lang w:val="en-US" w:eastAsia="zh-CN" w:bidi="ar"/>
                    </w:rPr>
                    <w:t>（DMF 36000）</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gridAfter w:val="1"/>
                <w:wAfter w:w="10" w:type="dxa"/>
                <w:trHeight w:val="340" w:hRule="atLeast"/>
              </w:trPr>
              <w:tc>
                <w:tcPr>
                  <w:tcW w:w="2884"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产品量</w:t>
                  </w:r>
                  <w:r>
                    <w:rPr>
                      <w:rFonts w:hint="eastAsia" w:ascii="Times New Roman" w:hAnsi="Times New Roman" w:eastAsia="宋体" w:cs="Times New Roman"/>
                      <w:i w:val="0"/>
                      <w:iCs w:val="0"/>
                      <w:color w:val="000000"/>
                      <w:kern w:val="0"/>
                      <w:sz w:val="21"/>
                      <w:szCs w:val="21"/>
                      <w:u w:val="none"/>
                      <w:lang w:val="en-US" w:eastAsia="zh-CN" w:bidi="ar"/>
                    </w:rPr>
                    <w:t xml:space="preserve"> </w:t>
                  </w:r>
                  <w:r>
                    <w:rPr>
                      <w:rFonts w:hint="default" w:ascii="Times New Roman" w:hAnsi="Times New Roman" w:eastAsia="宋体" w:cs="Times New Roman"/>
                      <w:i w:val="0"/>
                      <w:iCs w:val="0"/>
                      <w:color w:val="000000"/>
                      <w:kern w:val="0"/>
                      <w:sz w:val="21"/>
                      <w:szCs w:val="21"/>
                      <w:u w:val="none"/>
                      <w:lang w:val="en-US" w:eastAsia="zh-CN" w:bidi="ar"/>
                    </w:rPr>
                    <w:t>t/a</w:t>
                  </w:r>
                </w:p>
              </w:tc>
              <w:tc>
                <w:tcPr>
                  <w:tcW w:w="32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836.023</w:t>
                  </w:r>
                </w:p>
              </w:tc>
              <w:tc>
                <w:tcPr>
                  <w:tcW w:w="28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35608</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gridAfter w:val="1"/>
                <w:wAfter w:w="10" w:type="dxa"/>
                <w:trHeight w:val="340" w:hRule="atLeast"/>
              </w:trPr>
              <w:tc>
                <w:tcPr>
                  <w:tcW w:w="2884"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工艺</w:t>
                  </w:r>
                </w:p>
              </w:tc>
              <w:tc>
                <w:tcPr>
                  <w:tcW w:w="3253" w:type="dxa"/>
                  <w:tcBorders>
                    <w:tl2br w:val="nil"/>
                    <w:tr2bl w:val="nil"/>
                  </w:tcBorders>
                  <w:shd w:val="clear" w:color="auto" w:fill="auto"/>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预热-</w:t>
                  </w:r>
                  <w:r>
                    <w:rPr>
                      <w:rFonts w:hint="default"/>
                      <w:lang w:val="en-US" w:eastAsia="zh-CN"/>
                    </w:rPr>
                    <w:t>超重力高效旋转精馏</w:t>
                  </w:r>
                </w:p>
                <w:p>
                  <w:pPr>
                    <w:pStyle w:val="16"/>
                    <w:bidi w:val="0"/>
                    <w:rPr>
                      <w:rFonts w:hint="eastAsia" w:eastAsia="宋体"/>
                      <w:lang w:eastAsia="zh-CN"/>
                    </w:rPr>
                  </w:pPr>
                  <w:r>
                    <w:rPr>
                      <w:rFonts w:hint="eastAsia"/>
                      <w:lang w:eastAsia="zh-CN"/>
                    </w:rPr>
                    <w:t>（</w:t>
                  </w:r>
                  <w:r>
                    <w:rPr>
                      <w:rFonts w:hint="eastAsia"/>
                      <w:lang w:val="en-US" w:eastAsia="zh-CN"/>
                    </w:rPr>
                    <w:t>80~100℃</w:t>
                  </w:r>
                  <w:r>
                    <w:rPr>
                      <w:rFonts w:hint="eastAsia"/>
                      <w:lang w:eastAsia="zh-CN"/>
                    </w:rPr>
                    <w:t>）</w:t>
                  </w:r>
                </w:p>
              </w:tc>
              <w:tc>
                <w:tcPr>
                  <w:tcW w:w="2817" w:type="dxa"/>
                  <w:tcBorders>
                    <w:tl2br w:val="nil"/>
                    <w:tr2bl w:val="nil"/>
                  </w:tcBorders>
                  <w:shd w:val="clear" w:color="auto" w:fill="auto"/>
                  <w:vAlign w:val="center"/>
                </w:tcPr>
                <w:p>
                  <w:pPr>
                    <w:keepNext w:val="0"/>
                    <w:keepLines w:val="0"/>
                    <w:widowControl/>
                    <w:suppressLineNumbers w:val="0"/>
                    <w:jc w:val="center"/>
                    <w:textAlignment w:val="center"/>
                    <w:rPr>
                      <w:rFonts w:hint="default"/>
                      <w:lang w:val="en-US" w:eastAsia="zh-CN"/>
                    </w:rPr>
                  </w:pPr>
                  <w:r>
                    <w:rPr>
                      <w:rFonts w:hint="default"/>
                      <w:lang w:val="en-US" w:eastAsia="zh-CN"/>
                    </w:rPr>
                    <w:t>脱水</w:t>
                  </w:r>
                  <w:r>
                    <w:rPr>
                      <w:rFonts w:hint="eastAsia"/>
                      <w:lang w:val="en-US" w:eastAsia="zh-CN"/>
                    </w:rPr>
                    <w:t>-加压</w:t>
                  </w:r>
                  <w:r>
                    <w:rPr>
                      <w:rFonts w:hint="default"/>
                      <w:lang w:val="en-US" w:eastAsia="zh-CN"/>
                    </w:rPr>
                    <w:t>精馏</w:t>
                  </w:r>
                  <w:r>
                    <w:rPr>
                      <w:rFonts w:hint="eastAsia"/>
                      <w:lang w:val="en-US" w:eastAsia="zh-CN"/>
                    </w:rPr>
                    <w:t>-</w:t>
                  </w:r>
                  <w:r>
                    <w:rPr>
                      <w:rFonts w:hint="default"/>
                      <w:lang w:val="en-US" w:eastAsia="zh-CN"/>
                    </w:rPr>
                    <w:t>脱酸</w:t>
                  </w:r>
                  <w:r>
                    <w:rPr>
                      <w:rFonts w:hint="eastAsia"/>
                      <w:lang w:val="en-US" w:eastAsia="zh-CN"/>
                    </w:rPr>
                    <w:t>-</w:t>
                  </w:r>
                  <w:r>
                    <w:rPr>
                      <w:rFonts w:hint="default"/>
                      <w:lang w:val="en-US" w:eastAsia="zh-CN"/>
                    </w:rPr>
                    <w:t>脱胺</w:t>
                  </w:r>
                </w:p>
                <w:p>
                  <w:pPr>
                    <w:pStyle w:val="16"/>
                    <w:bidi w:val="0"/>
                    <w:rPr>
                      <w:rFonts w:hint="default"/>
                    </w:rPr>
                  </w:pPr>
                  <w:r>
                    <w:rPr>
                      <w:rFonts w:hint="eastAsia"/>
                      <w:lang w:eastAsia="zh-CN"/>
                    </w:rPr>
                    <w:t>（</w:t>
                  </w:r>
                  <w:r>
                    <w:rPr>
                      <w:rFonts w:hint="eastAsia"/>
                      <w:lang w:val="en-US" w:eastAsia="zh-CN"/>
                    </w:rPr>
                    <w:t>109~169℃</w:t>
                  </w:r>
                  <w:r>
                    <w:rPr>
                      <w:rFonts w:hint="eastAsia"/>
                      <w:lang w:eastAsia="zh-CN"/>
                    </w:rPr>
                    <w:t>）</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gridAfter w:val="1"/>
                <w:wAfter w:w="10" w:type="dxa"/>
                <w:trHeight w:val="340" w:hRule="atLeast"/>
              </w:trPr>
              <w:tc>
                <w:tcPr>
                  <w:tcW w:w="2884"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DMF</w:t>
                  </w:r>
                  <w:r>
                    <w:rPr>
                      <w:rFonts w:hint="default" w:ascii="Times New Roman" w:hAnsi="Times New Roman" w:eastAsia="宋体" w:cs="Times New Roman"/>
                      <w:i w:val="0"/>
                      <w:iCs w:val="0"/>
                      <w:color w:val="000000"/>
                      <w:kern w:val="0"/>
                      <w:sz w:val="21"/>
                      <w:szCs w:val="21"/>
                      <w:u w:val="none"/>
                      <w:lang w:val="en-US" w:eastAsia="zh-CN" w:bidi="ar"/>
                    </w:rPr>
                    <w:t>回收率</w:t>
                  </w:r>
                  <w:r>
                    <w:rPr>
                      <w:rFonts w:hint="eastAsia" w:ascii="Times New Roman" w:hAnsi="Times New Roman" w:eastAsia="宋体" w:cs="Times New Roman"/>
                      <w:i w:val="0"/>
                      <w:iCs w:val="0"/>
                      <w:color w:val="000000"/>
                      <w:kern w:val="0"/>
                      <w:sz w:val="21"/>
                      <w:szCs w:val="21"/>
                      <w:u w:val="none"/>
                      <w:lang w:val="en-US" w:eastAsia="zh-CN" w:bidi="ar"/>
                    </w:rPr>
                    <w:t xml:space="preserve"> %</w:t>
                  </w:r>
                </w:p>
              </w:tc>
              <w:tc>
                <w:tcPr>
                  <w:tcW w:w="32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99.11</w:t>
                  </w:r>
                </w:p>
              </w:tc>
              <w:tc>
                <w:tcPr>
                  <w:tcW w:w="28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98.91</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gridAfter w:val="1"/>
                <w:wAfter w:w="10" w:type="dxa"/>
                <w:trHeight w:val="340" w:hRule="atLeast"/>
              </w:trPr>
              <w:tc>
                <w:tcPr>
                  <w:tcW w:w="2884"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单位产品耗水量</w:t>
                  </w:r>
                  <w:r>
                    <w:rPr>
                      <w:rFonts w:hint="eastAsia" w:ascii="Times New Roman" w:hAnsi="Times New Roman" w:eastAsia="宋体" w:cs="Times New Roman"/>
                      <w:i w:val="0"/>
                      <w:iCs w:val="0"/>
                      <w:color w:val="000000"/>
                      <w:kern w:val="0"/>
                      <w:sz w:val="21"/>
                      <w:szCs w:val="21"/>
                      <w:u w:val="none"/>
                      <w:lang w:val="en-US" w:eastAsia="zh-CN" w:bidi="ar"/>
                    </w:rPr>
                    <w:t xml:space="preserve"> t/t产品</w:t>
                  </w:r>
                </w:p>
              </w:tc>
              <w:tc>
                <w:tcPr>
                  <w:tcW w:w="32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ascii="Times New Roman" w:hAnsi="Times New Roman" w:eastAsia="宋体" w:cs="Times New Roman"/>
                      <w:i w:val="0"/>
                      <w:iCs w:val="0"/>
                      <w:color w:val="000000"/>
                      <w:kern w:val="0"/>
                      <w:sz w:val="21"/>
                      <w:szCs w:val="21"/>
                      <w:u w:val="none"/>
                      <w:lang w:val="en-US" w:eastAsia="zh-CN" w:bidi="ar"/>
                    </w:rPr>
                    <w:t>6</w:t>
                  </w:r>
                </w:p>
              </w:tc>
              <w:tc>
                <w:tcPr>
                  <w:tcW w:w="28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0.90</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gridAfter w:val="1"/>
                <w:wAfter w:w="10" w:type="dxa"/>
                <w:trHeight w:val="340" w:hRule="atLeast"/>
              </w:trPr>
              <w:tc>
                <w:tcPr>
                  <w:tcW w:w="2884"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单位产品耗电量</w:t>
                  </w:r>
                  <w:r>
                    <w:rPr>
                      <w:rFonts w:hint="eastAsia" w:ascii="Times New Roman" w:hAnsi="Times New Roman" w:eastAsia="宋体" w:cs="Times New Roman"/>
                      <w:i w:val="0"/>
                      <w:iCs w:val="0"/>
                      <w:color w:val="000000"/>
                      <w:kern w:val="0"/>
                      <w:sz w:val="21"/>
                      <w:szCs w:val="21"/>
                      <w:u w:val="none"/>
                      <w:lang w:val="en-US" w:eastAsia="zh-CN" w:bidi="ar"/>
                    </w:rPr>
                    <w:t xml:space="preserve"> t/t产品</w:t>
                  </w:r>
                </w:p>
              </w:tc>
              <w:tc>
                <w:tcPr>
                  <w:tcW w:w="32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0.00086 </w:t>
                  </w:r>
                </w:p>
              </w:tc>
              <w:tc>
                <w:tcPr>
                  <w:tcW w:w="28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0.0091</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gridAfter w:val="1"/>
                <w:wAfter w:w="10" w:type="dxa"/>
                <w:trHeight w:val="340" w:hRule="atLeast"/>
              </w:trPr>
              <w:tc>
                <w:tcPr>
                  <w:tcW w:w="2884"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单位产品蒸汽用量</w:t>
                  </w:r>
                  <w:r>
                    <w:rPr>
                      <w:rFonts w:hint="eastAsia" w:ascii="Times New Roman" w:hAnsi="Times New Roman" w:eastAsia="宋体" w:cs="Times New Roman"/>
                      <w:i w:val="0"/>
                      <w:iCs w:val="0"/>
                      <w:color w:val="000000"/>
                      <w:kern w:val="0"/>
                      <w:sz w:val="21"/>
                      <w:szCs w:val="21"/>
                      <w:u w:val="none"/>
                      <w:lang w:val="en-US" w:eastAsia="zh-CN" w:bidi="ar"/>
                    </w:rPr>
                    <w:t xml:space="preserve"> t/t产品</w:t>
                  </w:r>
                </w:p>
              </w:tc>
              <w:tc>
                <w:tcPr>
                  <w:tcW w:w="32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Style w:val="25"/>
                      <w:rFonts w:hint="default" w:ascii="Times New Roman" w:hAnsi="Times New Roman" w:eastAsia="宋体" w:cs="Times New Roman"/>
                      <w:sz w:val="21"/>
                      <w:szCs w:val="21"/>
                      <w:lang w:val="en-US" w:eastAsia="zh-CN" w:bidi="ar"/>
                    </w:rPr>
                    <w:t>0</w:t>
                  </w:r>
                  <w:r>
                    <w:rPr>
                      <w:rStyle w:val="24"/>
                      <w:rFonts w:hint="default" w:ascii="Times New Roman" w:hAnsi="Times New Roman" w:cs="Times New Roman"/>
                      <w:sz w:val="21"/>
                      <w:szCs w:val="21"/>
                      <w:lang w:val="en-US" w:eastAsia="zh-CN" w:bidi="ar"/>
                    </w:rPr>
                    <w:t>（依托现有）</w:t>
                  </w:r>
                </w:p>
              </w:tc>
              <w:tc>
                <w:tcPr>
                  <w:tcW w:w="28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0.00025</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gridAfter w:val="1"/>
                <w:wAfter w:w="10" w:type="dxa"/>
                <w:trHeight w:val="340" w:hRule="atLeast"/>
              </w:trPr>
              <w:tc>
                <w:tcPr>
                  <w:tcW w:w="2884"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单位产品废水排放量</w:t>
                  </w:r>
                  <w:r>
                    <w:rPr>
                      <w:rFonts w:hint="eastAsia" w:ascii="Times New Roman" w:hAnsi="Times New Roman" w:eastAsia="宋体" w:cs="Times New Roman"/>
                      <w:i w:val="0"/>
                      <w:iCs w:val="0"/>
                      <w:color w:val="000000"/>
                      <w:kern w:val="0"/>
                      <w:sz w:val="21"/>
                      <w:szCs w:val="21"/>
                      <w:u w:val="none"/>
                      <w:lang w:val="en-US" w:eastAsia="zh-CN" w:bidi="ar"/>
                    </w:rPr>
                    <w:t xml:space="preserve"> t/t产品</w:t>
                  </w:r>
                </w:p>
              </w:tc>
              <w:tc>
                <w:tcPr>
                  <w:tcW w:w="32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28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2.26</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gridAfter w:val="1"/>
                <w:wAfter w:w="10" w:type="dxa"/>
                <w:trHeight w:val="340" w:hRule="atLeast"/>
              </w:trPr>
              <w:tc>
                <w:tcPr>
                  <w:tcW w:w="2884"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废</w:t>
                  </w:r>
                  <w:r>
                    <w:rPr>
                      <w:rFonts w:hint="default" w:ascii="Times New Roman" w:hAnsi="Times New Roman" w:eastAsia="宋体" w:cs="Times New Roman"/>
                      <w:i w:val="0"/>
                      <w:iCs w:val="0"/>
                      <w:color w:val="000000"/>
                      <w:kern w:val="0"/>
                      <w:sz w:val="21"/>
                      <w:szCs w:val="21"/>
                      <w:u w:val="none"/>
                      <w:lang w:val="en-US" w:eastAsia="zh-CN" w:bidi="ar"/>
                    </w:rPr>
                    <w:t>水回用率</w:t>
                  </w:r>
                  <w:r>
                    <w:rPr>
                      <w:rFonts w:hint="eastAsia" w:cs="Times New Roman"/>
                      <w:i w:val="0"/>
                      <w:iCs w:val="0"/>
                      <w:color w:val="000000"/>
                      <w:kern w:val="0"/>
                      <w:sz w:val="21"/>
                      <w:szCs w:val="21"/>
                      <w:u w:val="none"/>
                      <w:lang w:val="en-US" w:eastAsia="zh-CN" w:bidi="ar"/>
                    </w:rPr>
                    <w:t xml:space="preserve"> </w:t>
                  </w:r>
                  <w:r>
                    <w:rPr>
                      <w:rFonts w:hint="default" w:ascii="Times New Roman" w:hAnsi="Times New Roman" w:eastAsia="宋体" w:cs="Times New Roman"/>
                      <w:i w:val="0"/>
                      <w:iCs w:val="0"/>
                      <w:color w:val="000000"/>
                      <w:kern w:val="0"/>
                      <w:sz w:val="21"/>
                      <w:szCs w:val="21"/>
                      <w:u w:val="none"/>
                      <w:lang w:val="en-US" w:eastAsia="zh-CN" w:bidi="ar"/>
                    </w:rPr>
                    <w:t>%</w:t>
                  </w:r>
                </w:p>
              </w:tc>
              <w:tc>
                <w:tcPr>
                  <w:tcW w:w="32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281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53.12</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gridAfter w:val="1"/>
                <w:wAfter w:w="10" w:type="dxa"/>
                <w:trHeight w:val="340" w:hRule="atLeast"/>
              </w:trPr>
              <w:tc>
                <w:tcPr>
                  <w:tcW w:w="2884"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占地面积</w:t>
                  </w:r>
                </w:p>
              </w:tc>
              <w:tc>
                <w:tcPr>
                  <w:tcW w:w="325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小</w:t>
                  </w:r>
                </w:p>
              </w:tc>
              <w:tc>
                <w:tcPr>
                  <w:tcW w:w="281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大</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gridBefore w:val="1"/>
                <w:wBefore w:w="10" w:type="dxa"/>
                <w:trHeight w:val="340" w:hRule="atLeast"/>
              </w:trPr>
              <w:tc>
                <w:tcPr>
                  <w:tcW w:w="287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设备高度</w:t>
                  </w:r>
                </w:p>
              </w:tc>
              <w:tc>
                <w:tcPr>
                  <w:tcW w:w="325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不超过</w:t>
                  </w:r>
                  <w:r>
                    <w:rPr>
                      <w:rFonts w:hint="default" w:ascii="Times New Roman" w:hAnsi="Times New Roman" w:eastAsia="宋体" w:cs="Times New Roman"/>
                      <w:i w:val="0"/>
                      <w:iCs w:val="0"/>
                      <w:color w:val="000000"/>
                      <w:kern w:val="0"/>
                      <w:sz w:val="21"/>
                      <w:szCs w:val="21"/>
                      <w:u w:val="none"/>
                      <w:lang w:val="en-US" w:eastAsia="zh-CN" w:bidi="ar"/>
                    </w:rPr>
                    <w:t>6m</w:t>
                  </w:r>
                </w:p>
              </w:tc>
              <w:tc>
                <w:tcPr>
                  <w:tcW w:w="2827"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13m以上</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108" w:type="dxa"/>
                  <w:bottom w:w="0" w:type="dxa"/>
                  <w:right w:w="108" w:type="dxa"/>
                </w:tblCellMar>
              </w:tblPrEx>
              <w:trPr>
                <w:gridBefore w:val="1"/>
                <w:wBefore w:w="10" w:type="dxa"/>
                <w:trHeight w:val="340" w:hRule="atLeast"/>
              </w:trPr>
              <w:tc>
                <w:tcPr>
                  <w:tcW w:w="2874"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配套设备及运行成本</w:t>
                  </w:r>
                </w:p>
              </w:tc>
              <w:tc>
                <w:tcPr>
                  <w:tcW w:w="325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低</w:t>
                  </w:r>
                </w:p>
              </w:tc>
              <w:tc>
                <w:tcPr>
                  <w:tcW w:w="2827" w:type="dxa"/>
                  <w:gridSpan w:val="2"/>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w:t>
                  </w:r>
                </w:p>
              </w:tc>
            </w:tr>
          </w:tbl>
          <w:p>
            <w:pPr>
              <w:pStyle w:val="16"/>
              <w:rPr>
                <w:rFonts w:hint="default"/>
                <w:lang w:val="en-US" w:eastAsia="zh-CN"/>
              </w:rPr>
            </w:pPr>
          </w:p>
          <w:p>
            <w:pPr>
              <w:pStyle w:val="5"/>
              <w:bidi w:val="0"/>
              <w:rPr>
                <w:rFonts w:hint="default"/>
                <w:color w:val="auto"/>
                <w:highlight w:val="none"/>
                <w:lang w:val="en-US" w:eastAsia="zh-CN"/>
              </w:rPr>
            </w:pPr>
            <w:r>
              <w:rPr>
                <w:rFonts w:hint="default"/>
                <w:color w:val="auto"/>
                <w:highlight w:val="none"/>
                <w:lang w:val="en-US" w:eastAsia="zh-CN"/>
              </w:rPr>
              <w:t>综上，本项目采用的蒸汽尾水低温蒸馏DMF废液回收处理设备集高效、安全、运行成本低于一身，在降低能耗的同时降低污染物的排放量，提高企业的清洁生产能力，</w:t>
            </w:r>
            <w:r>
              <w:rPr>
                <w:rFonts w:hint="eastAsia"/>
                <w:color w:val="auto"/>
                <w:highlight w:val="none"/>
                <w:lang w:val="en-US" w:eastAsia="zh-CN"/>
              </w:rPr>
              <w:t>较传统精馏塔工艺更具</w:t>
            </w:r>
            <w:r>
              <w:rPr>
                <w:rFonts w:hint="default"/>
                <w:color w:val="auto"/>
                <w:highlight w:val="none"/>
                <w:lang w:val="en-US" w:eastAsia="zh-CN"/>
              </w:rPr>
              <w:t>的先进性和环境友好性。</w:t>
            </w:r>
          </w:p>
          <w:p>
            <w:pPr>
              <w:pStyle w:val="5"/>
              <w:numPr>
                <w:ilvl w:val="0"/>
                <w:numId w:val="0"/>
              </w:numPr>
              <w:ind w:left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主要产污环节</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本项目主要污染工序见下表。</w:t>
            </w:r>
          </w:p>
          <w:p>
            <w:pPr>
              <w:pStyle w:val="15"/>
              <w:numPr>
                <w:ilvl w:val="7"/>
                <w:numId w:val="4"/>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主要污染工序一览表</w:t>
            </w:r>
          </w:p>
          <w:tbl>
            <w:tblPr>
              <w:tblStyle w:val="11"/>
              <w:tblW w:w="9067"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98"/>
              <w:gridCol w:w="616"/>
              <w:gridCol w:w="1404"/>
              <w:gridCol w:w="1040"/>
              <w:gridCol w:w="1664"/>
              <w:gridCol w:w="374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598" w:type="dxa"/>
                  <w:tcBorders>
                    <w:tl2br w:val="nil"/>
                    <w:tr2bl w:val="nil"/>
                  </w:tcBorders>
                  <w:vAlign w:val="center"/>
                </w:tcPr>
                <w:p>
                  <w:pPr>
                    <w:tabs>
                      <w:tab w:val="left" w:pos="2604"/>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污染类型</w:t>
                  </w:r>
                </w:p>
              </w:tc>
              <w:tc>
                <w:tcPr>
                  <w:tcW w:w="616" w:type="dxa"/>
                  <w:tcBorders>
                    <w:tl2br w:val="nil"/>
                    <w:tr2bl w:val="nil"/>
                  </w:tcBorders>
                  <w:vAlign w:val="center"/>
                </w:tcPr>
                <w:p>
                  <w:pPr>
                    <w:tabs>
                      <w:tab w:val="left" w:pos="2604"/>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编号</w:t>
                  </w:r>
                </w:p>
              </w:tc>
              <w:tc>
                <w:tcPr>
                  <w:tcW w:w="1404" w:type="dxa"/>
                  <w:tcBorders>
                    <w:tl2br w:val="nil"/>
                    <w:tr2bl w:val="nil"/>
                  </w:tcBorders>
                  <w:vAlign w:val="center"/>
                </w:tcPr>
                <w:p>
                  <w:pPr>
                    <w:tabs>
                      <w:tab w:val="left" w:pos="2604"/>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污染源名称</w:t>
                  </w:r>
                </w:p>
              </w:tc>
              <w:tc>
                <w:tcPr>
                  <w:tcW w:w="1040" w:type="dxa"/>
                  <w:tcBorders>
                    <w:tl2br w:val="nil"/>
                    <w:tr2bl w:val="nil"/>
                  </w:tcBorders>
                  <w:vAlign w:val="center"/>
                </w:tcPr>
                <w:p>
                  <w:pPr>
                    <w:tabs>
                      <w:tab w:val="left" w:pos="2604"/>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产污环节</w:t>
                  </w:r>
                </w:p>
              </w:tc>
              <w:tc>
                <w:tcPr>
                  <w:tcW w:w="1664" w:type="dxa"/>
                  <w:tcBorders>
                    <w:tl2br w:val="nil"/>
                    <w:tr2bl w:val="nil"/>
                  </w:tcBorders>
                  <w:vAlign w:val="center"/>
                </w:tcPr>
                <w:p>
                  <w:pPr>
                    <w:tabs>
                      <w:tab w:val="left" w:pos="2604"/>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污染因子</w:t>
                  </w:r>
                </w:p>
              </w:tc>
              <w:tc>
                <w:tcPr>
                  <w:tcW w:w="3745" w:type="dxa"/>
                  <w:tcBorders>
                    <w:tl2br w:val="nil"/>
                    <w:tr2bl w:val="nil"/>
                  </w:tcBorders>
                  <w:vAlign w:val="center"/>
                </w:tcPr>
                <w:p>
                  <w:pPr>
                    <w:tabs>
                      <w:tab w:val="left" w:pos="2604"/>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治理措施及排放去向</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7" w:hRule="atLeast"/>
                <w:jc w:val="center"/>
              </w:trPr>
              <w:tc>
                <w:tcPr>
                  <w:tcW w:w="598" w:type="dxa"/>
                  <w:vMerge w:val="restart"/>
                  <w:tcBorders>
                    <w:tl2br w:val="nil"/>
                    <w:tr2bl w:val="nil"/>
                  </w:tcBorders>
                  <w:vAlign w:val="center"/>
                </w:tcPr>
                <w:p>
                  <w:pPr>
                    <w:tabs>
                      <w:tab w:val="left" w:pos="2604"/>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废气</w:t>
                  </w:r>
                </w:p>
              </w:tc>
              <w:tc>
                <w:tcPr>
                  <w:tcW w:w="616" w:type="dxa"/>
                  <w:vMerge w:val="restart"/>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rPr>
                    <w:t>G1</w:t>
                  </w:r>
                </w:p>
              </w:tc>
              <w:tc>
                <w:tcPr>
                  <w:tcW w:w="1404"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回收设备尾气</w:t>
                  </w:r>
                </w:p>
              </w:tc>
              <w:tc>
                <w:tcPr>
                  <w:tcW w:w="1040"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再沸</w:t>
                  </w:r>
                </w:p>
              </w:tc>
              <w:tc>
                <w:tcPr>
                  <w:tcW w:w="1664"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水蒸气、DMF、非甲烷总烃</w:t>
                  </w:r>
                </w:p>
              </w:tc>
              <w:tc>
                <w:tcPr>
                  <w:tcW w:w="3745"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eastAsia="zh-CN"/>
                    </w:rPr>
                    <w:t>回收设备（1）尾气由管道密闭收集</w:t>
                  </w:r>
                  <w:r>
                    <w:rPr>
                      <w:rFonts w:hint="default" w:ascii="Times New Roman" w:hAnsi="Times New Roman" w:cs="Times New Roman"/>
                      <w:color w:val="auto"/>
                      <w:szCs w:val="21"/>
                      <w:highlight w:val="none"/>
                      <w:lang w:val="en-US"/>
                    </w:rPr>
                    <w:t>+</w:t>
                  </w:r>
                  <w:r>
                    <w:rPr>
                      <w:rFonts w:hint="default" w:ascii="Times New Roman" w:hAnsi="Times New Roman" w:cs="Times New Roman"/>
                      <w:color w:val="auto"/>
                      <w:szCs w:val="21"/>
                      <w:highlight w:val="none"/>
                      <w:lang w:val="en-US" w:eastAsia="zh-CN"/>
                    </w:rPr>
                    <w:t>三段填料喷淋塔+</w:t>
                  </w:r>
                  <w:r>
                    <w:rPr>
                      <w:rFonts w:hint="default" w:ascii="Times New Roman" w:hAnsi="Times New Roman" w:cs="Times New Roman"/>
                      <w:color w:val="auto"/>
                      <w:szCs w:val="21"/>
                      <w:highlight w:val="none"/>
                      <w:lang w:val="en-US"/>
                    </w:rPr>
                    <w:t>1</w:t>
                  </w: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rPr>
                    <w:t>m高排气筒排放（</w:t>
                  </w:r>
                  <w:r>
                    <w:rPr>
                      <w:rFonts w:hint="default" w:ascii="Times New Roman" w:hAnsi="Times New Roman" w:cs="Times New Roman"/>
                      <w:color w:val="auto"/>
                      <w:szCs w:val="21"/>
                      <w:highlight w:val="none"/>
                      <w:lang w:val="en-US"/>
                    </w:rPr>
                    <w:t>DA00</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7" w:hRule="atLeast"/>
                <w:jc w:val="center"/>
              </w:trPr>
              <w:tc>
                <w:tcPr>
                  <w:tcW w:w="598" w:type="dxa"/>
                  <w:vMerge w:val="continue"/>
                  <w:tcBorders>
                    <w:tl2br w:val="nil"/>
                    <w:tr2bl w:val="nil"/>
                  </w:tcBorders>
                  <w:vAlign w:val="center"/>
                </w:tcPr>
                <w:p>
                  <w:pPr>
                    <w:adjustRightInd w:val="0"/>
                    <w:snapToGrid w:val="0"/>
                    <w:jc w:val="center"/>
                    <w:rPr>
                      <w:rFonts w:hint="default" w:ascii="Times New Roman" w:hAnsi="Times New Roman" w:cs="Times New Roman"/>
                      <w:color w:val="auto"/>
                      <w:highlight w:val="none"/>
                    </w:rPr>
                  </w:pPr>
                </w:p>
              </w:tc>
              <w:tc>
                <w:tcPr>
                  <w:tcW w:w="616" w:type="dxa"/>
                  <w:vMerge w:val="continue"/>
                  <w:tcBorders>
                    <w:tl2br w:val="nil"/>
                    <w:tr2bl w:val="nil"/>
                  </w:tcBorders>
                  <w:vAlign w:val="center"/>
                </w:tcPr>
                <w:p>
                  <w:pPr>
                    <w:adjustRightInd w:val="0"/>
                    <w:snapToGrid w:val="0"/>
                    <w:jc w:val="center"/>
                    <w:rPr>
                      <w:rFonts w:hint="default" w:ascii="Times New Roman" w:hAnsi="Times New Roman" w:cs="Times New Roman"/>
                      <w:color w:val="auto"/>
                      <w:highlight w:val="none"/>
                    </w:rPr>
                  </w:pPr>
                </w:p>
              </w:tc>
              <w:tc>
                <w:tcPr>
                  <w:tcW w:w="1404" w:type="dxa"/>
                  <w:vMerge w:val="continue"/>
                  <w:tcBorders>
                    <w:tl2br w:val="nil"/>
                    <w:tr2bl w:val="nil"/>
                  </w:tcBorders>
                  <w:vAlign w:val="center"/>
                </w:tcPr>
                <w:p>
                  <w:pPr>
                    <w:adjustRightInd w:val="0"/>
                    <w:snapToGrid w:val="0"/>
                    <w:jc w:val="center"/>
                    <w:rPr>
                      <w:rFonts w:hint="default" w:ascii="Times New Roman" w:hAnsi="Times New Roman" w:cs="Times New Roman"/>
                      <w:color w:val="auto"/>
                      <w:highlight w:val="none"/>
                    </w:rPr>
                  </w:pPr>
                </w:p>
              </w:tc>
              <w:tc>
                <w:tcPr>
                  <w:tcW w:w="1040" w:type="dxa"/>
                  <w:vMerge w:val="continue"/>
                  <w:tcBorders>
                    <w:tl2br w:val="nil"/>
                    <w:tr2bl w:val="nil"/>
                  </w:tcBorders>
                  <w:vAlign w:val="center"/>
                </w:tcPr>
                <w:p>
                  <w:pPr>
                    <w:adjustRightInd w:val="0"/>
                    <w:snapToGrid w:val="0"/>
                    <w:jc w:val="center"/>
                    <w:rPr>
                      <w:rFonts w:hint="default" w:ascii="Times New Roman" w:hAnsi="Times New Roman" w:cs="Times New Roman"/>
                      <w:color w:val="auto"/>
                      <w:highlight w:val="none"/>
                    </w:rPr>
                  </w:pPr>
                </w:p>
              </w:tc>
              <w:tc>
                <w:tcPr>
                  <w:tcW w:w="1664" w:type="dxa"/>
                  <w:vMerge w:val="continue"/>
                  <w:tcBorders>
                    <w:tl2br w:val="nil"/>
                    <w:tr2bl w:val="nil"/>
                  </w:tcBorders>
                  <w:vAlign w:val="center"/>
                </w:tcPr>
                <w:p>
                  <w:pPr>
                    <w:adjustRightInd w:val="0"/>
                    <w:snapToGrid w:val="0"/>
                    <w:jc w:val="center"/>
                    <w:rPr>
                      <w:rFonts w:hint="default" w:ascii="Times New Roman" w:hAnsi="Times New Roman" w:cs="Times New Roman"/>
                      <w:color w:val="auto"/>
                      <w:highlight w:val="none"/>
                    </w:rPr>
                  </w:pPr>
                </w:p>
              </w:tc>
              <w:tc>
                <w:tcPr>
                  <w:tcW w:w="3745"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回收设备（2）尾气由管道密闭收集</w:t>
                  </w:r>
                  <w:r>
                    <w:rPr>
                      <w:rFonts w:hint="default" w:ascii="Times New Roman" w:hAnsi="Times New Roman" w:cs="Times New Roman"/>
                      <w:color w:val="auto"/>
                      <w:szCs w:val="21"/>
                      <w:highlight w:val="none"/>
                      <w:lang w:val="en-US"/>
                    </w:rPr>
                    <w:t>+</w:t>
                  </w:r>
                  <w:r>
                    <w:rPr>
                      <w:rFonts w:hint="default" w:ascii="Times New Roman" w:hAnsi="Times New Roman" w:cs="Times New Roman"/>
                      <w:color w:val="auto"/>
                      <w:szCs w:val="21"/>
                      <w:highlight w:val="none"/>
                      <w:lang w:val="en-US" w:eastAsia="zh-CN"/>
                    </w:rPr>
                    <w:t>三段填料喷淋塔+</w:t>
                  </w:r>
                  <w:r>
                    <w:rPr>
                      <w:rFonts w:hint="default" w:ascii="Times New Roman" w:hAnsi="Times New Roman" w:cs="Times New Roman"/>
                      <w:color w:val="auto"/>
                      <w:szCs w:val="21"/>
                      <w:highlight w:val="none"/>
                      <w:lang w:val="en-US"/>
                    </w:rPr>
                    <w:t>1</w:t>
                  </w: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rPr>
                    <w:t>m高排气筒排放（</w:t>
                  </w:r>
                  <w:r>
                    <w:rPr>
                      <w:rFonts w:hint="default" w:ascii="Times New Roman" w:hAnsi="Times New Roman" w:cs="Times New Roman"/>
                      <w:color w:val="auto"/>
                      <w:szCs w:val="21"/>
                      <w:highlight w:val="none"/>
                      <w:lang w:val="en-US"/>
                    </w:rPr>
                    <w:t>DA00</w:t>
                  </w: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8" w:type="dxa"/>
                  <w:tcBorders>
                    <w:tl2br w:val="nil"/>
                    <w:tr2bl w:val="nil"/>
                  </w:tcBorders>
                  <w:vAlign w:val="center"/>
                </w:tcPr>
                <w:p>
                  <w:pPr>
                    <w:tabs>
                      <w:tab w:val="left" w:pos="2604"/>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废水</w:t>
                  </w:r>
                </w:p>
              </w:tc>
              <w:tc>
                <w:tcPr>
                  <w:tcW w:w="616"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rPr>
                    <w:t>W1</w:t>
                  </w:r>
                </w:p>
              </w:tc>
              <w:tc>
                <w:tcPr>
                  <w:tcW w:w="1404"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冷凝水</w:t>
                  </w:r>
                </w:p>
              </w:tc>
              <w:tc>
                <w:tcPr>
                  <w:tcW w:w="1040"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蒸馏</w:t>
                  </w:r>
                </w:p>
              </w:tc>
              <w:tc>
                <w:tcPr>
                  <w:tcW w:w="1664"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pH、</w:t>
                  </w:r>
                  <w:r>
                    <w:rPr>
                      <w:rFonts w:hint="default" w:ascii="Times New Roman" w:hAnsi="Times New Roman" w:cs="Times New Roman"/>
                      <w:color w:val="auto"/>
                      <w:position w:val="2"/>
                      <w:szCs w:val="21"/>
                      <w:highlight w:val="none"/>
                    </w:rPr>
                    <w:t>COD、</w:t>
                  </w:r>
                  <w:r>
                    <w:rPr>
                      <w:rFonts w:hint="default" w:ascii="Times New Roman" w:hAnsi="Times New Roman" w:cs="Times New Roman"/>
                      <w:color w:val="auto"/>
                      <w:szCs w:val="21"/>
                      <w:highlight w:val="none"/>
                      <w:lang w:val="en-US" w:eastAsia="zh-CN"/>
                    </w:rPr>
                    <w:t>DMF</w:t>
                  </w:r>
                </w:p>
              </w:tc>
              <w:tc>
                <w:tcPr>
                  <w:tcW w:w="3745"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回用于喷淋塔</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8" w:type="dxa"/>
                  <w:tcBorders>
                    <w:tl2br w:val="nil"/>
                    <w:tr2bl w:val="nil"/>
                  </w:tcBorders>
                  <w:vAlign w:val="center"/>
                </w:tcPr>
                <w:p>
                  <w:pPr>
                    <w:tabs>
                      <w:tab w:val="left" w:pos="2604"/>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w:t>
                  </w:r>
                </w:p>
              </w:tc>
              <w:tc>
                <w:tcPr>
                  <w:tcW w:w="616" w:type="dxa"/>
                  <w:tcBorders>
                    <w:tl2br w:val="nil"/>
                    <w:tr2bl w:val="nil"/>
                  </w:tcBorders>
                  <w:vAlign w:val="center"/>
                </w:tcPr>
                <w:p>
                  <w:pPr>
                    <w:tabs>
                      <w:tab w:val="left" w:pos="2604"/>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w:t>
                  </w:r>
                </w:p>
              </w:tc>
              <w:tc>
                <w:tcPr>
                  <w:tcW w:w="1404" w:type="dxa"/>
                  <w:tcBorders>
                    <w:tl2br w:val="nil"/>
                    <w:tr2bl w:val="nil"/>
                  </w:tcBorders>
                  <w:vAlign w:val="center"/>
                </w:tcPr>
                <w:p>
                  <w:pPr>
                    <w:tabs>
                      <w:tab w:val="left" w:pos="2604"/>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设备噪声</w:t>
                  </w:r>
                </w:p>
              </w:tc>
              <w:tc>
                <w:tcPr>
                  <w:tcW w:w="1040" w:type="dxa"/>
                  <w:tcBorders>
                    <w:tl2br w:val="nil"/>
                    <w:tr2bl w:val="nil"/>
                  </w:tcBorders>
                  <w:vAlign w:val="center"/>
                </w:tcPr>
                <w:p>
                  <w:pPr>
                    <w:tabs>
                      <w:tab w:val="left" w:pos="2604"/>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设备运转</w:t>
                  </w:r>
                </w:p>
              </w:tc>
              <w:tc>
                <w:tcPr>
                  <w:tcW w:w="1664" w:type="dxa"/>
                  <w:tcBorders>
                    <w:tl2br w:val="nil"/>
                    <w:tr2bl w:val="nil"/>
                  </w:tcBorders>
                  <w:vAlign w:val="center"/>
                </w:tcPr>
                <w:p>
                  <w:pPr>
                    <w:tabs>
                      <w:tab w:val="left" w:pos="2604"/>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w:t>
                  </w:r>
                  <w:r>
                    <w:rPr>
                      <w:rFonts w:hint="default" w:ascii="Times New Roman" w:hAnsi="Times New Roman" w:cs="Times New Roman"/>
                      <w:color w:val="auto"/>
                      <w:szCs w:val="21"/>
                      <w:highlight w:val="none"/>
                      <w:vertAlign w:val="subscript"/>
                    </w:rPr>
                    <w:t>Aeq</w:t>
                  </w:r>
                </w:p>
              </w:tc>
              <w:tc>
                <w:tcPr>
                  <w:tcW w:w="3745" w:type="dxa"/>
                  <w:tcBorders>
                    <w:tl2br w:val="nil"/>
                    <w:tr2bl w:val="nil"/>
                  </w:tcBorders>
                  <w:vAlign w:val="center"/>
                </w:tcPr>
                <w:p>
                  <w:pPr>
                    <w:tabs>
                      <w:tab w:val="left" w:pos="2604"/>
                    </w:tabs>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采用隔声、减震等降噪措施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8" w:type="dxa"/>
                  <w:vMerge w:val="restart"/>
                  <w:tcBorders>
                    <w:tl2br w:val="nil"/>
                    <w:tr2bl w:val="nil"/>
                  </w:tcBorders>
                  <w:vAlign w:val="center"/>
                </w:tcPr>
                <w:p>
                  <w:pPr>
                    <w:tabs>
                      <w:tab w:val="left" w:pos="2604"/>
                    </w:tabs>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固废</w:t>
                  </w:r>
                </w:p>
              </w:tc>
              <w:tc>
                <w:tcPr>
                  <w:tcW w:w="616" w:type="dxa"/>
                  <w:tcBorders>
                    <w:tl2br w:val="nil"/>
                    <w:tr2bl w:val="nil"/>
                  </w:tcBorders>
                  <w:vAlign w:val="center"/>
                </w:tcPr>
                <w:p>
                  <w:pPr>
                    <w:tabs>
                      <w:tab w:val="left" w:pos="2604"/>
                    </w:tabs>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S1</w:t>
                  </w:r>
                </w:p>
              </w:tc>
              <w:tc>
                <w:tcPr>
                  <w:tcW w:w="1404" w:type="dxa"/>
                  <w:tcBorders>
                    <w:tl2br w:val="nil"/>
                    <w:tr2bl w:val="nil"/>
                  </w:tcBorders>
                  <w:vAlign w:val="center"/>
                </w:tcPr>
                <w:p>
                  <w:pPr>
                    <w:tabs>
                      <w:tab w:val="left" w:pos="2604"/>
                    </w:tabs>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精馏残渣</w:t>
                  </w:r>
                </w:p>
              </w:tc>
              <w:tc>
                <w:tcPr>
                  <w:tcW w:w="1040" w:type="dxa"/>
                  <w:tcBorders>
                    <w:tl2br w:val="nil"/>
                    <w:tr2bl w:val="nil"/>
                  </w:tcBorders>
                  <w:vAlign w:val="center"/>
                </w:tcPr>
                <w:p>
                  <w:pPr>
                    <w:tabs>
                      <w:tab w:val="left" w:pos="2604"/>
                    </w:tabs>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蒸馏</w:t>
                  </w:r>
                </w:p>
              </w:tc>
              <w:tc>
                <w:tcPr>
                  <w:tcW w:w="1664" w:type="dxa"/>
                  <w:tcBorders>
                    <w:tl2br w:val="nil"/>
                    <w:tr2bl w:val="nil"/>
                  </w:tcBorders>
                  <w:vAlign w:val="center"/>
                </w:tcPr>
                <w:p>
                  <w:pPr>
                    <w:tabs>
                      <w:tab w:val="left" w:pos="2604"/>
                    </w:tabs>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固形物、DMF</w:t>
                  </w:r>
                  <w:r>
                    <w:rPr>
                      <w:rFonts w:hint="eastAsia" w:cs="Times New Roman"/>
                      <w:color w:val="auto"/>
                      <w:szCs w:val="21"/>
                      <w:highlight w:val="none"/>
                      <w:lang w:val="en-US" w:eastAsia="zh-CN"/>
                    </w:rPr>
                    <w:t>、高沸物</w:t>
                  </w:r>
                </w:p>
              </w:tc>
              <w:tc>
                <w:tcPr>
                  <w:tcW w:w="3745" w:type="dxa"/>
                  <w:vMerge w:val="restart"/>
                  <w:tcBorders>
                    <w:tl2br w:val="nil"/>
                    <w:tr2bl w:val="nil"/>
                  </w:tcBorders>
                  <w:vAlign w:val="center"/>
                </w:tcPr>
                <w:p>
                  <w:pPr>
                    <w:tabs>
                      <w:tab w:val="left" w:pos="2604"/>
                    </w:tabs>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暂存危废间后定期委托有资质的单位外运处置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8" w:type="dxa"/>
                  <w:vMerge w:val="continue"/>
                  <w:tcBorders>
                    <w:tl2br w:val="nil"/>
                    <w:tr2bl w:val="nil"/>
                  </w:tcBorders>
                  <w:vAlign w:val="center"/>
                </w:tcPr>
                <w:p>
                  <w:pPr>
                    <w:tabs>
                      <w:tab w:val="left" w:pos="2604"/>
                    </w:tabs>
                    <w:adjustRightInd w:val="0"/>
                    <w:snapToGrid w:val="0"/>
                    <w:jc w:val="center"/>
                    <w:rPr>
                      <w:rFonts w:hint="default" w:ascii="Times New Roman" w:hAnsi="Times New Roman" w:cs="Times New Roman"/>
                      <w:color w:val="auto"/>
                      <w:szCs w:val="21"/>
                      <w:highlight w:val="none"/>
                      <w:lang w:val="en-US" w:eastAsia="zh-CN"/>
                    </w:rPr>
                  </w:pPr>
                </w:p>
              </w:tc>
              <w:tc>
                <w:tcPr>
                  <w:tcW w:w="616" w:type="dxa"/>
                  <w:tcBorders>
                    <w:tl2br w:val="nil"/>
                    <w:tr2bl w:val="nil"/>
                  </w:tcBorders>
                  <w:vAlign w:val="center"/>
                </w:tcPr>
                <w:p>
                  <w:pPr>
                    <w:tabs>
                      <w:tab w:val="left" w:pos="2604"/>
                    </w:tabs>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S2</w:t>
                  </w:r>
                </w:p>
              </w:tc>
              <w:tc>
                <w:tcPr>
                  <w:tcW w:w="1404" w:type="dxa"/>
                  <w:tcBorders>
                    <w:tl2br w:val="nil"/>
                    <w:tr2bl w:val="nil"/>
                  </w:tcBorders>
                  <w:vAlign w:val="center"/>
                </w:tcPr>
                <w:p>
                  <w:pPr>
                    <w:tabs>
                      <w:tab w:val="left" w:pos="2604"/>
                    </w:tabs>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废机油</w:t>
                  </w:r>
                </w:p>
              </w:tc>
              <w:tc>
                <w:tcPr>
                  <w:tcW w:w="1040" w:type="dxa"/>
                  <w:tcBorders>
                    <w:tl2br w:val="nil"/>
                    <w:tr2bl w:val="nil"/>
                  </w:tcBorders>
                  <w:vAlign w:val="center"/>
                </w:tcPr>
                <w:p>
                  <w:pPr>
                    <w:tabs>
                      <w:tab w:val="left" w:pos="2604"/>
                    </w:tabs>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设备维护</w:t>
                  </w:r>
                </w:p>
              </w:tc>
              <w:tc>
                <w:tcPr>
                  <w:tcW w:w="1664" w:type="dxa"/>
                  <w:tcBorders>
                    <w:tl2br w:val="nil"/>
                    <w:tr2bl w:val="nil"/>
                  </w:tcBorders>
                  <w:vAlign w:val="center"/>
                </w:tcPr>
                <w:p>
                  <w:pPr>
                    <w:tabs>
                      <w:tab w:val="left" w:pos="2604"/>
                    </w:tabs>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矿物油</w:t>
                  </w:r>
                </w:p>
              </w:tc>
              <w:tc>
                <w:tcPr>
                  <w:tcW w:w="3745" w:type="dxa"/>
                  <w:vMerge w:val="continue"/>
                  <w:tcBorders>
                    <w:tl2br w:val="nil"/>
                    <w:tr2bl w:val="nil"/>
                  </w:tcBorders>
                  <w:vAlign w:val="center"/>
                </w:tcPr>
                <w:p>
                  <w:pPr>
                    <w:tabs>
                      <w:tab w:val="left" w:pos="2604"/>
                    </w:tabs>
                    <w:adjustRightInd w:val="0"/>
                    <w:snapToGrid w:val="0"/>
                    <w:jc w:val="center"/>
                    <w:rPr>
                      <w:rFonts w:hint="default" w:ascii="Times New Roman" w:hAnsi="Times New Roman" w:cs="Times New Roman"/>
                      <w:color w:val="auto"/>
                      <w:szCs w:val="21"/>
                      <w:highlight w:val="none"/>
                      <w:lang w:val="en-US" w:eastAsia="zh-CN"/>
                    </w:rPr>
                  </w:pPr>
                </w:p>
              </w:tc>
            </w:tr>
          </w:tbl>
          <w:p>
            <w:pPr>
              <w:adjustRightInd w:val="0"/>
              <w:snapToGrid w:val="0"/>
              <w:rPr>
                <w:rFonts w:hint="default" w:ascii="Times New Roman" w:hAnsi="Times New Roman" w:cs="Times New Roman"/>
                <w:bCs/>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26" w:type="dxa"/>
            <w:vAlign w:val="center"/>
          </w:tcPr>
          <w:p>
            <w:pPr>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2"/>
                <w:sz w:val="21"/>
                <w:szCs w:val="21"/>
                <w:highlight w:val="none"/>
              </w:rPr>
              <w:t>与项目有关的原有环境污染问题</w:t>
            </w:r>
          </w:p>
        </w:tc>
        <w:tc>
          <w:tcPr>
            <w:tcW w:w="9288" w:type="dxa"/>
            <w:vAlign w:val="center"/>
          </w:tcPr>
          <w:p>
            <w:pPr>
              <w:pStyle w:val="2"/>
              <w:numPr>
                <w:ilvl w:val="1"/>
                <w:numId w:val="6"/>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现有工程概况</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福建瑞峰革业有限公司前身是福建省新美装饰材料有限公司，于2008年建设年产400万米PU革深加工项目，并</w:t>
            </w:r>
            <w:r>
              <w:rPr>
                <w:rFonts w:hint="default" w:ascii="Times New Roman" w:hAnsi="Times New Roman" w:cs="Times New Roman"/>
                <w:color w:val="auto"/>
                <w:highlight w:val="none"/>
              </w:rPr>
              <w:t>于2</w:t>
            </w:r>
            <w:r>
              <w:rPr>
                <w:rFonts w:hint="default" w:ascii="Times New Roman" w:hAnsi="Times New Roman" w:cs="Times New Roman"/>
                <w:color w:val="auto"/>
                <w:highlight w:val="none"/>
                <w:lang w:val="en-US" w:eastAsia="zh-CN"/>
              </w:rPr>
              <w:t>008</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11</w:t>
            </w:r>
            <w:r>
              <w:rPr>
                <w:rFonts w:hint="default" w:ascii="Times New Roman" w:hAnsi="Times New Roman" w:cs="Times New Roman"/>
                <w:color w:val="auto"/>
                <w:highlight w:val="none"/>
              </w:rPr>
              <w:t>月取得由</w:t>
            </w:r>
            <w:r>
              <w:rPr>
                <w:rFonts w:hint="default" w:ascii="Times New Roman" w:hAnsi="Times New Roman" w:cs="Times New Roman"/>
                <w:color w:val="auto"/>
                <w:highlight w:val="none"/>
                <w:lang w:val="en-US" w:eastAsia="zh-CN"/>
              </w:rPr>
              <w:t>原福鼎市环境保护局</w:t>
            </w:r>
            <w:r>
              <w:rPr>
                <w:rFonts w:hint="default" w:ascii="Times New Roman" w:hAnsi="Times New Roman" w:cs="Times New Roman"/>
                <w:color w:val="auto"/>
                <w:highlight w:val="none"/>
              </w:rPr>
              <w:t>出具的环评批复</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鼎环审[2008]078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2012年通过竣工环境保护验收（鼎环验[2012]22号）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验收生产规模为</w:t>
            </w:r>
            <w:r>
              <w:rPr>
                <w:rFonts w:hint="default" w:ascii="Times New Roman" w:hAnsi="Times New Roman" w:cs="Times New Roman"/>
                <w:color w:val="auto"/>
                <w:highlight w:val="none"/>
                <w:lang w:val="en-US" w:eastAsia="zh-CN"/>
              </w:rPr>
              <w:t>年产400万米PU革深加工</w:t>
            </w:r>
            <w:r>
              <w:rPr>
                <w:rFonts w:hint="default" w:ascii="Times New Roman" w:hAnsi="Times New Roman" w:cs="Times New Roman"/>
                <w:color w:val="auto"/>
                <w:highlight w:val="none"/>
              </w:rPr>
              <w:t>。</w:t>
            </w:r>
          </w:p>
          <w:p>
            <w:pPr>
              <w:pStyle w:val="5"/>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为顺应市场变化，企业淘汰水洗揉纹机、喷涂设备等PU革后处理设备，同时随着园区配套设施不断完善，环保要求不断提高，企业对环保设施进行提标改造：①拆除锅炉及其处理设施采用蒸汽集中供热；②提升配料间、滚涂等区域的集气设施并配套3#废气喷淋塔进行处理；③更换1#、2#喷淋塔填料，工艺改造为三段式填料喷淋塔；④淘汰原有废水处理设施，将废水收集后暂存于废水储罐内，定期委托福建大成皮业有限公司处置，见附件11。因此，企业于2020年进行环境影响后评价，并于2020年10月报宁德市福鼎生态环境局备案。企业自2018年以来按照《排污许可管理办法（试行）》申领、到期更换、变更排污许可证，并根据排污许可证的自行监测要求，对废气、噪声污染源进行自行监测；自行监测数据按时上传污染源自行监测申报平台，监测结果均达标。</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现有工程环保手续落实情况如下表所示。</w:t>
            </w:r>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现有工程</w:t>
            </w:r>
            <w:r>
              <w:rPr>
                <w:rFonts w:hint="default" w:ascii="Times New Roman" w:hAnsi="Times New Roman" w:cs="Times New Roman"/>
                <w:color w:val="auto"/>
                <w:highlight w:val="none"/>
              </w:rPr>
              <w:t>环保手续落实情况</w:t>
            </w:r>
          </w:p>
          <w:tbl>
            <w:tblPr>
              <w:tblStyle w:val="11"/>
              <w:tblW w:w="9069"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9"/>
              <w:gridCol w:w="2430"/>
              <w:gridCol w:w="1533"/>
              <w:gridCol w:w="2117"/>
              <w:gridCol w:w="210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dxa"/>
                  <w:tcBorders>
                    <w:tl2br w:val="nil"/>
                    <w:tr2bl w:val="nil"/>
                  </w:tcBorders>
                  <w:tcMar>
                    <w:left w:w="0" w:type="dxa"/>
                    <w:right w:w="0" w:type="dxa"/>
                  </w:tcMar>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类别</w:t>
                  </w:r>
                </w:p>
              </w:tc>
              <w:tc>
                <w:tcPr>
                  <w:tcW w:w="2430" w:type="dxa"/>
                  <w:tcBorders>
                    <w:tl2br w:val="nil"/>
                    <w:tr2bl w:val="nil"/>
                  </w:tcBorders>
                  <w:tcMar>
                    <w:left w:w="0" w:type="dxa"/>
                    <w:right w:w="0" w:type="dxa"/>
                  </w:tcMar>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项目名称</w:t>
                  </w:r>
                </w:p>
              </w:tc>
              <w:tc>
                <w:tcPr>
                  <w:tcW w:w="1533" w:type="dxa"/>
                  <w:tcBorders>
                    <w:tl2br w:val="nil"/>
                    <w:tr2bl w:val="nil"/>
                  </w:tcBorders>
                  <w:tcMar>
                    <w:left w:w="0" w:type="dxa"/>
                    <w:right w:w="0" w:type="dxa"/>
                  </w:tcMar>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产品方案</w:t>
                  </w:r>
                </w:p>
              </w:tc>
              <w:tc>
                <w:tcPr>
                  <w:tcW w:w="2117" w:type="dxa"/>
                  <w:tcBorders>
                    <w:tl2br w:val="nil"/>
                    <w:tr2bl w:val="nil"/>
                  </w:tcBorders>
                  <w:tcMar>
                    <w:left w:w="0" w:type="dxa"/>
                    <w:right w:w="0" w:type="dxa"/>
                  </w:tcMar>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审批</w:t>
                  </w:r>
                  <w:r>
                    <w:rPr>
                      <w:rFonts w:hint="default" w:ascii="Times New Roman" w:hAnsi="Times New Roman" w:cs="Times New Roman"/>
                      <w:color w:val="auto"/>
                      <w:highlight w:val="none"/>
                      <w:lang w:val="en-US" w:eastAsia="zh-CN"/>
                    </w:rPr>
                    <w:t>/备案</w:t>
                  </w:r>
                  <w:r>
                    <w:rPr>
                      <w:rFonts w:hint="default" w:ascii="Times New Roman" w:hAnsi="Times New Roman" w:cs="Times New Roman"/>
                      <w:color w:val="auto"/>
                      <w:highlight w:val="none"/>
                    </w:rPr>
                    <w:t>单位</w:t>
                  </w:r>
                </w:p>
              </w:tc>
              <w:tc>
                <w:tcPr>
                  <w:tcW w:w="2100"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审批时间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dxa"/>
                  <w:tcBorders>
                    <w:tl2br w:val="nil"/>
                    <w:tr2bl w:val="nil"/>
                  </w:tcBorders>
                  <w:tcMar>
                    <w:left w:w="0" w:type="dxa"/>
                    <w:right w:w="0" w:type="dxa"/>
                  </w:tcMar>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环评审批</w:t>
                  </w:r>
                </w:p>
              </w:tc>
              <w:tc>
                <w:tcPr>
                  <w:tcW w:w="2430" w:type="dxa"/>
                  <w:tcBorders>
                    <w:tl2br w:val="nil"/>
                    <w:tr2bl w:val="nil"/>
                  </w:tcBorders>
                  <w:tcMar>
                    <w:left w:w="0" w:type="dxa"/>
                    <w:right w:w="0" w:type="dxa"/>
                  </w:tcMar>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Cs w:val="21"/>
                      <w:highlight w:val="none"/>
                      <w:lang w:val="en-US" w:eastAsia="zh-CN"/>
                    </w:rPr>
                    <w:t>年产400万米PU革深加工项目</w:t>
                  </w:r>
                </w:p>
              </w:tc>
              <w:tc>
                <w:tcPr>
                  <w:tcW w:w="1533" w:type="dxa"/>
                  <w:tcBorders>
                    <w:tl2br w:val="nil"/>
                    <w:tr2bl w:val="nil"/>
                  </w:tcBorders>
                  <w:tcMar>
                    <w:left w:w="0" w:type="dxa"/>
                    <w:right w:w="0" w:type="dxa"/>
                  </w:tcMar>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400万米PU革</w:t>
                  </w:r>
                </w:p>
              </w:tc>
              <w:tc>
                <w:tcPr>
                  <w:tcW w:w="2117" w:type="dxa"/>
                  <w:tcBorders>
                    <w:tl2br w:val="nil"/>
                    <w:tr2bl w:val="nil"/>
                  </w:tcBorders>
                  <w:tcMar>
                    <w:left w:w="0" w:type="dxa"/>
                    <w:right w:w="0" w:type="dxa"/>
                  </w:tcMar>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原福鼎市环境保护局</w:t>
                  </w:r>
                </w:p>
              </w:tc>
              <w:tc>
                <w:tcPr>
                  <w:tcW w:w="2100"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2008.11.24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dxa"/>
                  <w:tcBorders>
                    <w:tl2br w:val="nil"/>
                    <w:tr2bl w:val="nil"/>
                  </w:tcBorders>
                  <w:tcMar>
                    <w:left w:w="0" w:type="dxa"/>
                    <w:right w:w="0" w:type="dxa"/>
                  </w:tcMar>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验收审批</w:t>
                  </w:r>
                </w:p>
              </w:tc>
              <w:tc>
                <w:tcPr>
                  <w:tcW w:w="2430" w:type="dxa"/>
                  <w:tcBorders>
                    <w:tl2br w:val="nil"/>
                    <w:tr2bl w:val="nil"/>
                  </w:tcBorders>
                  <w:tcMar>
                    <w:left w:w="0" w:type="dxa"/>
                    <w:right w:w="0" w:type="dxa"/>
                  </w:tcMar>
                  <w:vAlign w:val="center"/>
                </w:tcPr>
                <w:p>
                  <w:pPr>
                    <w:pStyle w:val="16"/>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Cs w:val="21"/>
                      <w:highlight w:val="none"/>
                      <w:lang w:val="en-US" w:eastAsia="zh-CN"/>
                    </w:rPr>
                    <w:t>年产400万米PU革深加工项目</w:t>
                  </w:r>
                </w:p>
              </w:tc>
              <w:tc>
                <w:tcPr>
                  <w:tcW w:w="1533" w:type="dxa"/>
                  <w:tcBorders>
                    <w:tl2br w:val="nil"/>
                    <w:tr2bl w:val="nil"/>
                  </w:tcBorders>
                  <w:tcMar>
                    <w:left w:w="0" w:type="dxa"/>
                    <w:right w:w="0" w:type="dxa"/>
                  </w:tcMar>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400万米PU革</w:t>
                  </w:r>
                </w:p>
              </w:tc>
              <w:tc>
                <w:tcPr>
                  <w:tcW w:w="2117" w:type="dxa"/>
                  <w:tcBorders>
                    <w:tl2br w:val="nil"/>
                    <w:tr2bl w:val="nil"/>
                  </w:tcBorders>
                  <w:tcMar>
                    <w:left w:w="0" w:type="dxa"/>
                    <w:right w:w="0" w:type="dxa"/>
                  </w:tcMar>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原福鼎市环境保护局</w:t>
                  </w:r>
                </w:p>
              </w:tc>
              <w:tc>
                <w:tcPr>
                  <w:tcW w:w="2100"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201</w:t>
                  </w:r>
                  <w:r>
                    <w:rPr>
                      <w:rFonts w:hint="default" w:ascii="Times New Roman" w:hAnsi="Times New Roman" w:cs="Times New Roman"/>
                      <w:color w:val="auto"/>
                      <w:highlight w:val="none"/>
                      <w:lang w:val="en-US" w:eastAsia="zh-CN"/>
                    </w:rPr>
                    <w:t>2.9.13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dxa"/>
                  <w:tcBorders>
                    <w:tl2br w:val="nil"/>
                    <w:tr2bl w:val="nil"/>
                  </w:tcBorders>
                  <w:tcMar>
                    <w:left w:w="0" w:type="dxa"/>
                    <w:right w:w="0" w:type="dxa"/>
                  </w:tcMar>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后评价</w:t>
                  </w:r>
                </w:p>
              </w:tc>
              <w:tc>
                <w:tcPr>
                  <w:tcW w:w="2430" w:type="dxa"/>
                  <w:tcBorders>
                    <w:tl2br w:val="nil"/>
                    <w:tr2bl w:val="nil"/>
                  </w:tcBorders>
                  <w:tcMar>
                    <w:left w:w="0" w:type="dxa"/>
                    <w:right w:w="0" w:type="dxa"/>
                  </w:tcMar>
                  <w:vAlign w:val="center"/>
                </w:tcPr>
                <w:p>
                  <w:pPr>
                    <w:pStyle w:val="16"/>
                    <w:ind w:left="0" w:leftChars="0" w:firstLine="0" w:firstLineChars="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年产400万米PU革深加工项目</w:t>
                  </w:r>
                </w:p>
              </w:tc>
              <w:tc>
                <w:tcPr>
                  <w:tcW w:w="1533" w:type="dxa"/>
                  <w:tcBorders>
                    <w:tl2br w:val="nil"/>
                    <w:tr2bl w:val="nil"/>
                  </w:tcBorders>
                  <w:tcMar>
                    <w:left w:w="0" w:type="dxa"/>
                    <w:right w:w="0" w:type="dxa"/>
                  </w:tcMar>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400万米PU革</w:t>
                  </w:r>
                </w:p>
              </w:tc>
              <w:tc>
                <w:tcPr>
                  <w:tcW w:w="2117" w:type="dxa"/>
                  <w:tcBorders>
                    <w:tl2br w:val="nil"/>
                    <w:tr2bl w:val="nil"/>
                  </w:tcBorders>
                  <w:tcMar>
                    <w:left w:w="0" w:type="dxa"/>
                    <w:right w:w="0" w:type="dxa"/>
                  </w:tcMar>
                  <w:vAlign w:val="center"/>
                </w:tcPr>
                <w:p>
                  <w:pPr>
                    <w:pStyle w:val="16"/>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宁德市福鼎生态环境局</w:t>
                  </w:r>
                </w:p>
              </w:tc>
              <w:tc>
                <w:tcPr>
                  <w:tcW w:w="2100"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2020.10.16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dxa"/>
                  <w:vMerge w:val="restart"/>
                  <w:tcBorders>
                    <w:tl2br w:val="nil"/>
                    <w:tr2bl w:val="nil"/>
                  </w:tcBorders>
                  <w:tcMar>
                    <w:left w:w="0" w:type="dxa"/>
                    <w:right w:w="0" w:type="dxa"/>
                  </w:tcMar>
                  <w:vAlign w:val="center"/>
                </w:tcPr>
                <w:p>
                  <w:pPr>
                    <w:pStyle w:val="16"/>
                    <w:ind w:left="0" w:leftChars="0" w:firstLine="0" w:firstLineChars="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排污许可</w:t>
                  </w:r>
                </w:p>
              </w:tc>
              <w:tc>
                <w:tcPr>
                  <w:tcW w:w="2430" w:type="dxa"/>
                  <w:tcBorders>
                    <w:tl2br w:val="nil"/>
                    <w:tr2bl w:val="nil"/>
                  </w:tcBorders>
                  <w:tcMar>
                    <w:left w:w="0" w:type="dxa"/>
                    <w:right w:w="0" w:type="dxa"/>
                  </w:tcMar>
                  <w:vAlign w:val="center"/>
                </w:tcPr>
                <w:p>
                  <w:pPr>
                    <w:pStyle w:val="16"/>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350982-2018-000030</w:t>
                  </w:r>
                </w:p>
              </w:tc>
              <w:tc>
                <w:tcPr>
                  <w:tcW w:w="1533" w:type="dxa"/>
                  <w:tcBorders>
                    <w:tl2br w:val="nil"/>
                    <w:tr2bl w:val="nil"/>
                  </w:tcBorders>
                  <w:tcMar>
                    <w:left w:w="0" w:type="dxa"/>
                    <w:right w:w="0" w:type="dxa"/>
                  </w:tcMar>
                  <w:vAlign w:val="center"/>
                </w:tcPr>
                <w:p>
                  <w:pPr>
                    <w:pStyle w:val="16"/>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p>
              </w:tc>
              <w:tc>
                <w:tcPr>
                  <w:tcW w:w="2117" w:type="dxa"/>
                  <w:tcBorders>
                    <w:tl2br w:val="nil"/>
                    <w:tr2bl w:val="nil"/>
                  </w:tcBorders>
                  <w:tcMar>
                    <w:left w:w="0" w:type="dxa"/>
                    <w:right w:w="0" w:type="dxa"/>
                  </w:tcMar>
                  <w:vAlign w:val="center"/>
                </w:tcPr>
                <w:p>
                  <w:pPr>
                    <w:pStyle w:val="16"/>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原福鼎市环境保护局</w:t>
                  </w:r>
                </w:p>
              </w:tc>
              <w:tc>
                <w:tcPr>
                  <w:tcW w:w="2100"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20</w:t>
                  </w:r>
                  <w:r>
                    <w:rPr>
                      <w:rFonts w:hint="default" w:ascii="Times New Roman" w:hAnsi="Times New Roman" w:cs="Times New Roman"/>
                      <w:color w:val="auto"/>
                      <w:highlight w:val="none"/>
                      <w:lang w:val="en-US" w:eastAsia="zh-CN"/>
                    </w:rPr>
                    <w:t>18.5.18-2020.12.31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dxa"/>
                  <w:vMerge w:val="continue"/>
                  <w:tcBorders>
                    <w:tl2br w:val="nil"/>
                    <w:tr2bl w:val="nil"/>
                  </w:tcBorders>
                  <w:tcMar>
                    <w:left w:w="0" w:type="dxa"/>
                    <w:right w:w="0" w:type="dxa"/>
                  </w:tcMar>
                  <w:vAlign w:val="center"/>
                </w:tcPr>
                <w:p>
                  <w:pPr>
                    <w:pStyle w:val="16"/>
                    <w:ind w:left="0" w:leftChars="0" w:firstLine="0" w:firstLineChars="0"/>
                    <w:rPr>
                      <w:rFonts w:hint="default" w:ascii="Times New Roman" w:hAnsi="Times New Roman" w:cs="Times New Roman"/>
                      <w:color w:val="auto"/>
                      <w:highlight w:val="none"/>
                    </w:rPr>
                  </w:pPr>
                </w:p>
              </w:tc>
              <w:tc>
                <w:tcPr>
                  <w:tcW w:w="2430" w:type="dxa"/>
                  <w:tcBorders>
                    <w:tl2br w:val="nil"/>
                    <w:tr2bl w:val="nil"/>
                  </w:tcBorders>
                  <w:tcMar>
                    <w:left w:w="0" w:type="dxa"/>
                    <w:right w:w="0" w:type="dxa"/>
                  </w:tcMar>
                  <w:vAlign w:val="center"/>
                </w:tcPr>
                <w:p>
                  <w:pPr>
                    <w:pStyle w:val="16"/>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913509827960899515001V</w:t>
                  </w:r>
                </w:p>
              </w:tc>
              <w:tc>
                <w:tcPr>
                  <w:tcW w:w="1533" w:type="dxa"/>
                  <w:tcBorders>
                    <w:tl2br w:val="nil"/>
                    <w:tr2bl w:val="nil"/>
                  </w:tcBorders>
                  <w:tcMar>
                    <w:left w:w="0" w:type="dxa"/>
                    <w:right w:w="0" w:type="dxa"/>
                  </w:tcMar>
                  <w:vAlign w:val="center"/>
                </w:tcPr>
                <w:p>
                  <w:pPr>
                    <w:pStyle w:val="16"/>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117" w:type="dxa"/>
                  <w:tcBorders>
                    <w:tl2br w:val="nil"/>
                    <w:tr2bl w:val="nil"/>
                  </w:tcBorders>
                  <w:tcMar>
                    <w:left w:w="0" w:type="dxa"/>
                    <w:right w:w="0" w:type="dxa"/>
                  </w:tcMar>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宁德市福鼎生态环境局</w:t>
                  </w:r>
                </w:p>
              </w:tc>
              <w:tc>
                <w:tcPr>
                  <w:tcW w:w="2100"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2020.8.14-2023.8.13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dxa"/>
                  <w:vMerge w:val="continue"/>
                  <w:tcBorders>
                    <w:tl2br w:val="nil"/>
                    <w:tr2bl w:val="nil"/>
                  </w:tcBorders>
                  <w:tcMar>
                    <w:left w:w="0" w:type="dxa"/>
                    <w:right w:w="0" w:type="dxa"/>
                  </w:tcMar>
                  <w:vAlign w:val="center"/>
                </w:tcPr>
                <w:p>
                  <w:pPr>
                    <w:pStyle w:val="16"/>
                    <w:rPr>
                      <w:rFonts w:hint="default" w:ascii="Times New Roman" w:hAnsi="Times New Roman" w:cs="Times New Roman"/>
                      <w:color w:val="auto"/>
                      <w:highlight w:val="none"/>
                    </w:rPr>
                  </w:pPr>
                </w:p>
              </w:tc>
              <w:tc>
                <w:tcPr>
                  <w:tcW w:w="2430" w:type="dxa"/>
                  <w:tcBorders>
                    <w:tl2br w:val="nil"/>
                    <w:tr2bl w:val="nil"/>
                  </w:tcBorders>
                  <w:tcMar>
                    <w:left w:w="0" w:type="dxa"/>
                    <w:right w:w="0" w:type="dxa"/>
                  </w:tcMar>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913509827960899515001V</w:t>
                  </w:r>
                </w:p>
              </w:tc>
              <w:tc>
                <w:tcPr>
                  <w:tcW w:w="1533" w:type="dxa"/>
                  <w:tcBorders>
                    <w:tl2br w:val="nil"/>
                    <w:tr2bl w:val="nil"/>
                  </w:tcBorders>
                  <w:tcMar>
                    <w:left w:w="0" w:type="dxa"/>
                    <w:right w:w="0" w:type="dxa"/>
                  </w:tcMar>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117" w:type="dxa"/>
                  <w:tcBorders>
                    <w:tl2br w:val="nil"/>
                    <w:tr2bl w:val="nil"/>
                  </w:tcBorders>
                  <w:tcMar>
                    <w:left w:w="0" w:type="dxa"/>
                    <w:right w:w="0" w:type="dxa"/>
                  </w:tcMar>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宁德市福鼎生态环境局</w:t>
                  </w:r>
                </w:p>
              </w:tc>
              <w:tc>
                <w:tcPr>
                  <w:tcW w:w="2100"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2021.9.17-2026.9.16</w:t>
                  </w:r>
                </w:p>
              </w:tc>
            </w:tr>
          </w:tbl>
          <w:p>
            <w:pPr>
              <w:rPr>
                <w:rFonts w:hint="default" w:ascii="Times New Roman" w:hAnsi="Times New Roman" w:cs="Times New Roman"/>
                <w:color w:val="auto"/>
                <w:highlight w:val="none"/>
              </w:rPr>
            </w:pPr>
          </w:p>
          <w:p>
            <w:pPr>
              <w:pStyle w:val="2"/>
              <w:numPr>
                <w:ilvl w:val="1"/>
                <w:numId w:val="6"/>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现有工程</w:t>
            </w:r>
            <w:r>
              <w:rPr>
                <w:rFonts w:hint="default" w:ascii="Times New Roman" w:hAnsi="Times New Roman" w:cs="Times New Roman"/>
                <w:color w:val="auto"/>
                <w:highlight w:val="none"/>
                <w:lang w:val="en-US" w:eastAsia="zh-CN"/>
              </w:rPr>
              <w:t>污染物排放情况及环保措施</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（1）现有工程生产工艺流程</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现有工程</w:t>
            </w:r>
            <w:r>
              <w:rPr>
                <w:rFonts w:hint="default" w:ascii="Times New Roman" w:hAnsi="Times New Roman" w:cs="Times New Roman"/>
                <w:color w:val="auto"/>
                <w:highlight w:val="none"/>
              </w:rPr>
              <w:t>具体工艺流程见</w:t>
            </w:r>
            <w:r>
              <w:rPr>
                <w:rFonts w:hint="default" w:ascii="Times New Roman" w:hAnsi="Times New Roman" w:cs="Times New Roman"/>
                <w:color w:val="auto"/>
                <w:highlight w:val="none"/>
                <w:lang w:val="en-US" w:eastAsia="zh-CN"/>
              </w:rPr>
              <w:t>下图</w:t>
            </w:r>
            <w:r>
              <w:rPr>
                <w:rFonts w:hint="default" w:ascii="Times New Roman" w:hAnsi="Times New Roman" w:cs="Times New Roman"/>
                <w:color w:val="auto"/>
                <w:highlight w:val="none"/>
              </w:rPr>
              <w:t>。</w:t>
            </w:r>
          </w:p>
          <w:p>
            <w:pPr>
              <w:pStyle w:val="5"/>
              <w:ind w:left="0" w:leftChars="0" w:firstLine="0" w:firstLineChars="0"/>
              <w:jc w:val="center"/>
              <w:rPr>
                <w:rFonts w:hint="default" w:ascii="Times New Roman" w:hAnsi="Times New Roman" w:cs="Times New Roman"/>
                <w:color w:val="auto"/>
                <w:highlight w:val="none"/>
              </w:rPr>
            </w:pPr>
          </w:p>
          <w:p>
            <w:pPr>
              <w:pStyle w:val="17"/>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现有工程PU革深加工生产工艺流程图</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①</w:t>
            </w:r>
            <w:r>
              <w:rPr>
                <w:rFonts w:hint="default" w:ascii="Times New Roman" w:hAnsi="Times New Roman" w:cs="Times New Roman"/>
                <w:color w:val="auto"/>
                <w:highlight w:val="none"/>
              </w:rPr>
              <w:t>滚涂生产线生产工艺</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以合成革（贝斯底坯）为主要原料，首先将坯布浸入预浸槽内，使其湿润，再利用挤压辊把坯布中的水分挤干并烫平，再利用滚涂设备将预先调配好的原料涂覆于坯布上，然后进入烘箱烘干固化后收卷，进入后续压花、印刷、揉纹等工序。</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②贝斯涂面线</w:t>
            </w:r>
            <w:r>
              <w:rPr>
                <w:rFonts w:hint="default" w:ascii="Times New Roman" w:hAnsi="Times New Roman" w:cs="Times New Roman"/>
                <w:color w:val="auto"/>
                <w:highlight w:val="none"/>
              </w:rPr>
              <w:t>生产工艺</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以合成革（贝斯底坯）为主要原料，将预先调配好的原料涂覆于坯布上</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根据客户需求，一般涂刮二至三次</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，然后进入烘箱，蒸发去除树脂中的溶剂，冷却收卷后进入后续压花、印刷、揉纹等工序。</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废气污染物排放及环保措施</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现有</w:t>
            </w:r>
            <w:r>
              <w:rPr>
                <w:rFonts w:hint="default" w:ascii="Times New Roman" w:hAnsi="Times New Roman" w:cs="Times New Roman"/>
                <w:color w:val="auto"/>
                <w:highlight w:val="none"/>
              </w:rPr>
              <w:t>工程采取的废气</w:t>
            </w:r>
            <w:r>
              <w:rPr>
                <w:rFonts w:hint="default" w:ascii="Times New Roman" w:hAnsi="Times New Roman" w:cs="Times New Roman"/>
                <w:color w:val="auto"/>
                <w:highlight w:val="none"/>
                <w:lang w:val="en-US" w:eastAsia="zh-CN"/>
              </w:rPr>
              <w:t>收集、</w:t>
            </w:r>
            <w:r>
              <w:rPr>
                <w:rFonts w:hint="default" w:ascii="Times New Roman" w:hAnsi="Times New Roman" w:cs="Times New Roman"/>
                <w:color w:val="auto"/>
                <w:highlight w:val="none"/>
              </w:rPr>
              <w:t>处理设施情况见下表。</w:t>
            </w:r>
          </w:p>
          <w:p>
            <w:pPr>
              <w:pStyle w:val="15"/>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现有工程采取的废气处理设施</w:t>
            </w:r>
          </w:p>
          <w:tbl>
            <w:tblPr>
              <w:tblStyle w:val="11"/>
              <w:tblW w:w="9001"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2626"/>
              <w:gridCol w:w="1426"/>
              <w:gridCol w:w="1809"/>
              <w:gridCol w:w="178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排气筒编号</w:t>
                  </w:r>
                </w:p>
              </w:tc>
              <w:tc>
                <w:tcPr>
                  <w:tcW w:w="2626"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废气种类</w:t>
                  </w:r>
                </w:p>
              </w:tc>
              <w:tc>
                <w:tcPr>
                  <w:tcW w:w="1426"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污染因子</w:t>
                  </w:r>
                </w:p>
              </w:tc>
              <w:tc>
                <w:tcPr>
                  <w:tcW w:w="1809"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收集</w:t>
                  </w:r>
                  <w:r>
                    <w:rPr>
                      <w:rFonts w:hint="default" w:ascii="Times New Roman" w:hAnsi="Times New Roman" w:cs="Times New Roman"/>
                      <w:color w:val="auto"/>
                      <w:highlight w:val="none"/>
                    </w:rPr>
                    <w:t>措施</w:t>
                  </w:r>
                </w:p>
              </w:tc>
              <w:tc>
                <w:tcPr>
                  <w:tcW w:w="1789" w:type="dxa"/>
                  <w:tcBorders>
                    <w:tl2br w:val="nil"/>
                    <w:tr2bl w:val="nil"/>
                  </w:tcBorders>
                  <w:shd w:val="clear" w:color="auto" w:fill="auto"/>
                  <w:vAlign w:val="center"/>
                </w:tcPr>
                <w:p>
                  <w:pPr>
                    <w:pStyle w:val="16"/>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处理措施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dxa"/>
                  <w:vMerge w:val="restart"/>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DA001</w:t>
                  </w:r>
                </w:p>
              </w:tc>
              <w:tc>
                <w:tcPr>
                  <w:tcW w:w="2626" w:type="dxa"/>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G1 1#</w:t>
                  </w:r>
                  <w:r>
                    <w:rPr>
                      <w:rFonts w:hint="default" w:ascii="Times New Roman" w:hAnsi="Times New Roman" w:cs="Times New Roman"/>
                      <w:color w:val="auto"/>
                      <w:highlight w:val="none"/>
                      <w:lang w:val="en-US" w:eastAsia="zh-CN"/>
                    </w:rPr>
                    <w:t>干法</w:t>
                  </w:r>
                  <w:r>
                    <w:rPr>
                      <w:rFonts w:hint="default" w:ascii="Times New Roman" w:hAnsi="Times New Roman" w:eastAsia="宋体" w:cs="Times New Roman"/>
                      <w:color w:val="auto"/>
                      <w:highlight w:val="none"/>
                      <w:lang w:val="en-US" w:eastAsia="zh-CN"/>
                    </w:rPr>
                    <w:t>线涂布废气</w:t>
                  </w:r>
                </w:p>
              </w:tc>
              <w:tc>
                <w:tcPr>
                  <w:tcW w:w="1426" w:type="dxa"/>
                  <w:vMerge w:val="restart"/>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苯、甲苯、二甲苯、DMF、非甲烷总烃</w:t>
                  </w:r>
                </w:p>
              </w:tc>
              <w:tc>
                <w:tcPr>
                  <w:tcW w:w="1809" w:type="dxa"/>
                  <w:vMerge w:val="restart"/>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Cs w:val="21"/>
                      <w:highlight w:val="none"/>
                      <w:lang w:val="en-US" w:eastAsia="zh-CN"/>
                    </w:rPr>
                    <w:t>集气罩+密闭收集</w:t>
                  </w:r>
                </w:p>
              </w:tc>
              <w:tc>
                <w:tcPr>
                  <w:tcW w:w="1789" w:type="dxa"/>
                  <w:vMerge w:val="restart"/>
                  <w:tcBorders>
                    <w:tl2br w:val="nil"/>
                    <w:tr2bl w:val="nil"/>
                  </w:tcBorders>
                  <w:shd w:val="clear" w:color="auto" w:fill="auto"/>
                  <w:vAlign w:val="center"/>
                </w:tcPr>
                <w:p>
                  <w:pPr>
                    <w:pStyle w:val="16"/>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三段填料喷淋塔</w:t>
                  </w: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rPr>
                    <w:t>m高排气筒</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2626" w:type="dxa"/>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G2 1#</w:t>
                  </w:r>
                  <w:r>
                    <w:rPr>
                      <w:rFonts w:hint="default" w:ascii="Times New Roman" w:hAnsi="Times New Roman" w:cs="Times New Roman"/>
                      <w:color w:val="auto"/>
                      <w:highlight w:val="none"/>
                      <w:lang w:val="en-US" w:eastAsia="zh-CN"/>
                    </w:rPr>
                    <w:t>干法</w:t>
                  </w:r>
                  <w:r>
                    <w:rPr>
                      <w:rFonts w:hint="default" w:ascii="Times New Roman" w:hAnsi="Times New Roman" w:eastAsia="宋体" w:cs="Times New Roman"/>
                      <w:color w:val="auto"/>
                      <w:highlight w:val="none"/>
                      <w:lang w:val="en-US" w:eastAsia="zh-CN"/>
                    </w:rPr>
                    <w:t>线烘干废气</w:t>
                  </w:r>
                </w:p>
              </w:tc>
              <w:tc>
                <w:tcPr>
                  <w:tcW w:w="1426" w:type="dxa"/>
                  <w:vMerge w:val="continue"/>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p>
              </w:tc>
              <w:tc>
                <w:tcPr>
                  <w:tcW w:w="1809" w:type="dxa"/>
                  <w:vMerge w:val="continue"/>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p>
              </w:tc>
              <w:tc>
                <w:tcPr>
                  <w:tcW w:w="1789" w:type="dxa"/>
                  <w:vMerge w:val="continue"/>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dxa"/>
                  <w:vMerge w:val="continue"/>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p>
              </w:tc>
              <w:tc>
                <w:tcPr>
                  <w:tcW w:w="2626" w:type="dxa"/>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G3 1#后处理印刷机废气</w:t>
                  </w:r>
                </w:p>
              </w:tc>
              <w:tc>
                <w:tcPr>
                  <w:tcW w:w="1426" w:type="dxa"/>
                  <w:vMerge w:val="continue"/>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p>
              </w:tc>
              <w:tc>
                <w:tcPr>
                  <w:tcW w:w="1809" w:type="dxa"/>
                  <w:vMerge w:val="continue"/>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p>
              </w:tc>
              <w:tc>
                <w:tcPr>
                  <w:tcW w:w="1789" w:type="dxa"/>
                  <w:vMerge w:val="continue"/>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dxa"/>
                  <w:vMerge w:val="continue"/>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p>
              </w:tc>
              <w:tc>
                <w:tcPr>
                  <w:tcW w:w="2626" w:type="dxa"/>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G4 1#后处理印刷机废气</w:t>
                  </w:r>
                </w:p>
              </w:tc>
              <w:tc>
                <w:tcPr>
                  <w:tcW w:w="1426" w:type="dxa"/>
                  <w:vMerge w:val="continue"/>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p>
              </w:tc>
              <w:tc>
                <w:tcPr>
                  <w:tcW w:w="1809" w:type="dxa"/>
                  <w:vMerge w:val="continue"/>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p>
              </w:tc>
              <w:tc>
                <w:tcPr>
                  <w:tcW w:w="1789" w:type="dxa"/>
                  <w:vMerge w:val="continue"/>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dxa"/>
                  <w:vMerge w:val="restart"/>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DA002</w:t>
                  </w:r>
                </w:p>
              </w:tc>
              <w:tc>
                <w:tcPr>
                  <w:tcW w:w="262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G1 2#</w:t>
                  </w:r>
                  <w:r>
                    <w:rPr>
                      <w:rFonts w:hint="default" w:ascii="Times New Roman" w:hAnsi="Times New Roman" w:cs="Times New Roman"/>
                      <w:color w:val="auto"/>
                      <w:highlight w:val="none"/>
                      <w:lang w:val="en-US" w:eastAsia="zh-CN"/>
                    </w:rPr>
                    <w:t>干法</w:t>
                  </w:r>
                  <w:r>
                    <w:rPr>
                      <w:rFonts w:hint="default" w:ascii="Times New Roman" w:hAnsi="Times New Roman" w:eastAsia="宋体" w:cs="Times New Roman"/>
                      <w:color w:val="auto"/>
                      <w:highlight w:val="none"/>
                      <w:lang w:val="en-US" w:eastAsia="zh-CN"/>
                    </w:rPr>
                    <w:t>线涂布废气</w:t>
                  </w:r>
                </w:p>
              </w:tc>
              <w:tc>
                <w:tcPr>
                  <w:tcW w:w="1426" w:type="dxa"/>
                  <w:vMerge w:val="restart"/>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苯、甲苯、二甲苯、DMF、非甲烷总烃</w:t>
                  </w:r>
                </w:p>
              </w:tc>
              <w:tc>
                <w:tcPr>
                  <w:tcW w:w="1809" w:type="dxa"/>
                  <w:vMerge w:val="restart"/>
                  <w:tcBorders>
                    <w:tl2br w:val="nil"/>
                    <w:tr2bl w:val="nil"/>
                  </w:tcBorders>
                  <w:shd w:val="clear" w:color="auto" w:fill="auto"/>
                  <w:vAlign w:val="center"/>
                </w:tcPr>
                <w:p>
                  <w:pPr>
                    <w:ind w:left="-42" w:leftChars="-20" w:right="-42" w:rightChars="-2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Cs w:val="21"/>
                      <w:highlight w:val="none"/>
                      <w:lang w:val="en-US" w:eastAsia="zh-CN"/>
                    </w:rPr>
                    <w:t>集气罩+密闭收集</w:t>
                  </w:r>
                </w:p>
              </w:tc>
              <w:tc>
                <w:tcPr>
                  <w:tcW w:w="1789" w:type="dxa"/>
                  <w:vMerge w:val="restart"/>
                  <w:tcBorders>
                    <w:tl2br w:val="nil"/>
                    <w:tr2bl w:val="nil"/>
                  </w:tcBorders>
                  <w:shd w:val="clear" w:color="auto" w:fill="auto"/>
                  <w:vAlign w:val="center"/>
                </w:tcPr>
                <w:p>
                  <w:pPr>
                    <w:pStyle w:val="16"/>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三段填料喷淋塔</w:t>
                  </w: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rPr>
                    <w:t>m高排气筒</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dxa"/>
                  <w:vMerge w:val="continue"/>
                  <w:tcBorders>
                    <w:tl2br w:val="nil"/>
                    <w:tr2bl w:val="nil"/>
                  </w:tcBorders>
                  <w:shd w:val="clear" w:color="auto" w:fill="auto"/>
                  <w:vAlign w:val="center"/>
                </w:tcPr>
                <w:p>
                  <w:pPr>
                    <w:ind w:left="-42" w:leftChars="-20" w:right="-42" w:rightChars="-20"/>
                    <w:jc w:val="center"/>
                    <w:rPr>
                      <w:rFonts w:hint="default" w:ascii="Times New Roman" w:hAnsi="Times New Roman" w:cs="Times New Roman"/>
                      <w:color w:val="auto"/>
                      <w:highlight w:val="none"/>
                    </w:rPr>
                  </w:pPr>
                </w:p>
              </w:tc>
              <w:tc>
                <w:tcPr>
                  <w:tcW w:w="2626"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highlight w:val="none"/>
                      <w:lang w:val="en-US" w:eastAsia="zh-CN"/>
                    </w:rPr>
                    <w:t>G2 2#</w:t>
                  </w:r>
                  <w:r>
                    <w:rPr>
                      <w:rFonts w:hint="default" w:ascii="Times New Roman" w:hAnsi="Times New Roman" w:cs="Times New Roman"/>
                      <w:color w:val="auto"/>
                      <w:highlight w:val="none"/>
                      <w:lang w:val="en-US" w:eastAsia="zh-CN"/>
                    </w:rPr>
                    <w:t>干法</w:t>
                  </w:r>
                  <w:r>
                    <w:rPr>
                      <w:rFonts w:hint="default" w:ascii="Times New Roman" w:hAnsi="Times New Roman" w:eastAsia="宋体" w:cs="Times New Roman"/>
                      <w:color w:val="auto"/>
                      <w:highlight w:val="none"/>
                      <w:lang w:val="en-US" w:eastAsia="zh-CN"/>
                    </w:rPr>
                    <w:t>线烘干废气</w:t>
                  </w:r>
                </w:p>
              </w:tc>
              <w:tc>
                <w:tcPr>
                  <w:tcW w:w="1426" w:type="dxa"/>
                  <w:vMerge w:val="continue"/>
                  <w:tcBorders>
                    <w:tl2br w:val="nil"/>
                    <w:tr2bl w:val="nil"/>
                  </w:tcBorders>
                  <w:shd w:val="clear" w:color="auto" w:fill="auto"/>
                  <w:vAlign w:val="center"/>
                </w:tcPr>
                <w:p>
                  <w:pPr>
                    <w:ind w:left="-42" w:leftChars="-20" w:right="-42" w:rightChars="-20"/>
                    <w:jc w:val="center"/>
                    <w:rPr>
                      <w:rFonts w:hint="default" w:ascii="Times New Roman" w:hAnsi="Times New Roman" w:cs="Times New Roman"/>
                      <w:color w:val="auto"/>
                      <w:kern w:val="2"/>
                      <w:sz w:val="21"/>
                      <w:szCs w:val="21"/>
                      <w:highlight w:val="none"/>
                    </w:rPr>
                  </w:pPr>
                </w:p>
              </w:tc>
              <w:tc>
                <w:tcPr>
                  <w:tcW w:w="1809" w:type="dxa"/>
                  <w:vMerge w:val="continue"/>
                  <w:tcBorders>
                    <w:tl2br w:val="nil"/>
                    <w:tr2bl w:val="nil"/>
                  </w:tcBorders>
                  <w:shd w:val="clear" w:color="auto" w:fill="auto"/>
                  <w:vAlign w:val="center"/>
                </w:tcPr>
                <w:p>
                  <w:pPr>
                    <w:ind w:left="-42" w:leftChars="-20" w:right="-42" w:rightChars="-20"/>
                    <w:jc w:val="center"/>
                    <w:rPr>
                      <w:rFonts w:hint="default" w:ascii="Times New Roman" w:hAnsi="Times New Roman" w:cs="Times New Roman"/>
                      <w:color w:val="auto"/>
                      <w:kern w:val="2"/>
                      <w:sz w:val="21"/>
                      <w:szCs w:val="21"/>
                      <w:highlight w:val="none"/>
                    </w:rPr>
                  </w:pPr>
                </w:p>
              </w:tc>
              <w:tc>
                <w:tcPr>
                  <w:tcW w:w="1789" w:type="dxa"/>
                  <w:vMerge w:val="continue"/>
                  <w:tcBorders>
                    <w:tl2br w:val="nil"/>
                    <w:tr2bl w:val="nil"/>
                  </w:tcBorders>
                  <w:shd w:val="clear" w:color="auto" w:fill="auto"/>
                  <w:vAlign w:val="center"/>
                </w:tcPr>
                <w:p>
                  <w:pPr>
                    <w:ind w:left="-42" w:leftChars="-20" w:right="-42" w:rightChars="-20"/>
                    <w:jc w:val="center"/>
                    <w:rPr>
                      <w:rFonts w:hint="default" w:ascii="Times New Roman" w:hAnsi="Times New Roman" w:cs="Times New Roman"/>
                      <w:color w:val="auto"/>
                      <w:kern w:val="2"/>
                      <w:sz w:val="21"/>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dxa"/>
                  <w:vMerge w:val="continue"/>
                  <w:tcBorders>
                    <w:tl2br w:val="nil"/>
                    <w:tr2bl w:val="nil"/>
                  </w:tcBorders>
                  <w:shd w:val="clear" w:color="auto" w:fill="auto"/>
                  <w:vAlign w:val="center"/>
                </w:tcPr>
                <w:p>
                  <w:pPr>
                    <w:ind w:left="-42" w:leftChars="-20" w:right="-42" w:rightChars="-20"/>
                    <w:jc w:val="center"/>
                    <w:rPr>
                      <w:rFonts w:hint="default" w:ascii="Times New Roman" w:hAnsi="Times New Roman" w:cs="Times New Roman"/>
                      <w:color w:val="auto"/>
                      <w:kern w:val="2"/>
                      <w:sz w:val="21"/>
                      <w:szCs w:val="21"/>
                      <w:highlight w:val="none"/>
                    </w:rPr>
                  </w:pPr>
                </w:p>
              </w:tc>
              <w:tc>
                <w:tcPr>
                  <w:tcW w:w="2626"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highlight w:val="none"/>
                      <w:lang w:val="en-US" w:eastAsia="zh-CN"/>
                    </w:rPr>
                    <w:t>G3 2#后处理印刷机废气</w:t>
                  </w:r>
                </w:p>
              </w:tc>
              <w:tc>
                <w:tcPr>
                  <w:tcW w:w="1426" w:type="dxa"/>
                  <w:vMerge w:val="continue"/>
                  <w:tcBorders>
                    <w:tl2br w:val="nil"/>
                    <w:tr2bl w:val="nil"/>
                  </w:tcBorders>
                  <w:shd w:val="clear" w:color="auto" w:fill="auto"/>
                  <w:vAlign w:val="center"/>
                </w:tcPr>
                <w:p>
                  <w:pPr>
                    <w:ind w:left="-42" w:leftChars="-20" w:right="-42" w:rightChars="-20"/>
                    <w:jc w:val="center"/>
                    <w:rPr>
                      <w:rFonts w:hint="default" w:ascii="Times New Roman" w:hAnsi="Times New Roman" w:cs="Times New Roman"/>
                      <w:color w:val="auto"/>
                      <w:kern w:val="2"/>
                      <w:sz w:val="21"/>
                      <w:szCs w:val="21"/>
                      <w:highlight w:val="none"/>
                    </w:rPr>
                  </w:pPr>
                </w:p>
              </w:tc>
              <w:tc>
                <w:tcPr>
                  <w:tcW w:w="1809" w:type="dxa"/>
                  <w:vMerge w:val="continue"/>
                  <w:tcBorders>
                    <w:tl2br w:val="nil"/>
                    <w:tr2bl w:val="nil"/>
                  </w:tcBorders>
                  <w:shd w:val="clear" w:color="auto" w:fill="auto"/>
                  <w:vAlign w:val="center"/>
                </w:tcPr>
                <w:p>
                  <w:pPr>
                    <w:ind w:left="-42" w:leftChars="-20" w:right="-42" w:rightChars="-20"/>
                    <w:jc w:val="center"/>
                    <w:rPr>
                      <w:rFonts w:hint="default" w:ascii="Times New Roman" w:hAnsi="Times New Roman" w:cs="Times New Roman"/>
                      <w:color w:val="auto"/>
                      <w:kern w:val="2"/>
                      <w:sz w:val="21"/>
                      <w:szCs w:val="21"/>
                      <w:highlight w:val="none"/>
                    </w:rPr>
                  </w:pPr>
                </w:p>
              </w:tc>
              <w:tc>
                <w:tcPr>
                  <w:tcW w:w="1789" w:type="dxa"/>
                  <w:vMerge w:val="continue"/>
                  <w:tcBorders>
                    <w:tl2br w:val="nil"/>
                    <w:tr2bl w:val="nil"/>
                  </w:tcBorders>
                  <w:shd w:val="clear" w:color="auto" w:fill="auto"/>
                  <w:vAlign w:val="center"/>
                </w:tcPr>
                <w:p>
                  <w:pPr>
                    <w:ind w:left="-42" w:leftChars="-20" w:right="-42" w:rightChars="-20"/>
                    <w:jc w:val="center"/>
                    <w:rPr>
                      <w:rFonts w:hint="default" w:ascii="Times New Roman" w:hAnsi="Times New Roman" w:cs="Times New Roman"/>
                      <w:color w:val="auto"/>
                      <w:kern w:val="2"/>
                      <w:sz w:val="21"/>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dxa"/>
                  <w:vMerge w:val="continue"/>
                  <w:tcBorders>
                    <w:tl2br w:val="nil"/>
                    <w:tr2bl w:val="nil"/>
                  </w:tcBorders>
                  <w:shd w:val="clear" w:color="auto" w:fill="auto"/>
                  <w:vAlign w:val="center"/>
                </w:tcPr>
                <w:p>
                  <w:pPr>
                    <w:ind w:left="-42" w:leftChars="-20" w:right="-42" w:rightChars="-20"/>
                    <w:jc w:val="center"/>
                    <w:rPr>
                      <w:rFonts w:hint="default" w:ascii="Times New Roman" w:hAnsi="Times New Roman" w:cs="Times New Roman"/>
                      <w:color w:val="auto"/>
                      <w:kern w:val="2"/>
                      <w:sz w:val="21"/>
                      <w:szCs w:val="21"/>
                      <w:highlight w:val="none"/>
                    </w:rPr>
                  </w:pPr>
                </w:p>
              </w:tc>
              <w:tc>
                <w:tcPr>
                  <w:tcW w:w="2626"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highlight w:val="none"/>
                      <w:lang w:val="en-US" w:eastAsia="zh-CN"/>
                    </w:rPr>
                    <w:t>G4 2#后处理印刷机废气</w:t>
                  </w:r>
                </w:p>
              </w:tc>
              <w:tc>
                <w:tcPr>
                  <w:tcW w:w="1426" w:type="dxa"/>
                  <w:vMerge w:val="continue"/>
                  <w:tcBorders>
                    <w:tl2br w:val="nil"/>
                    <w:tr2bl w:val="nil"/>
                  </w:tcBorders>
                  <w:shd w:val="clear" w:color="auto" w:fill="auto"/>
                  <w:vAlign w:val="center"/>
                </w:tcPr>
                <w:p>
                  <w:pPr>
                    <w:ind w:left="-42" w:leftChars="-20" w:right="-42" w:rightChars="-20"/>
                    <w:jc w:val="center"/>
                    <w:rPr>
                      <w:rFonts w:hint="default" w:ascii="Times New Roman" w:hAnsi="Times New Roman" w:cs="Times New Roman"/>
                      <w:color w:val="auto"/>
                      <w:kern w:val="2"/>
                      <w:sz w:val="21"/>
                      <w:szCs w:val="21"/>
                      <w:highlight w:val="none"/>
                    </w:rPr>
                  </w:pPr>
                </w:p>
              </w:tc>
              <w:tc>
                <w:tcPr>
                  <w:tcW w:w="1809" w:type="dxa"/>
                  <w:vMerge w:val="continue"/>
                  <w:tcBorders>
                    <w:tl2br w:val="nil"/>
                    <w:tr2bl w:val="nil"/>
                  </w:tcBorders>
                  <w:shd w:val="clear" w:color="auto" w:fill="auto"/>
                  <w:vAlign w:val="center"/>
                </w:tcPr>
                <w:p>
                  <w:pPr>
                    <w:ind w:left="-42" w:leftChars="-20" w:right="-42" w:rightChars="-20"/>
                    <w:jc w:val="center"/>
                    <w:rPr>
                      <w:rFonts w:hint="default" w:ascii="Times New Roman" w:hAnsi="Times New Roman" w:cs="Times New Roman"/>
                      <w:color w:val="auto"/>
                      <w:kern w:val="2"/>
                      <w:sz w:val="21"/>
                      <w:szCs w:val="21"/>
                      <w:highlight w:val="none"/>
                    </w:rPr>
                  </w:pPr>
                </w:p>
              </w:tc>
              <w:tc>
                <w:tcPr>
                  <w:tcW w:w="1789" w:type="dxa"/>
                  <w:vMerge w:val="continue"/>
                  <w:tcBorders>
                    <w:tl2br w:val="nil"/>
                    <w:tr2bl w:val="nil"/>
                  </w:tcBorders>
                  <w:shd w:val="clear" w:color="auto" w:fill="auto"/>
                  <w:vAlign w:val="center"/>
                </w:tcPr>
                <w:p>
                  <w:pPr>
                    <w:ind w:left="-42" w:leftChars="-20" w:right="-42" w:rightChars="-20"/>
                    <w:jc w:val="center"/>
                    <w:rPr>
                      <w:rFonts w:hint="default" w:ascii="Times New Roman" w:hAnsi="Times New Roman" w:cs="Times New Roman"/>
                      <w:color w:val="auto"/>
                      <w:kern w:val="2"/>
                      <w:sz w:val="21"/>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dxa"/>
                  <w:vMerge w:val="restart"/>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DA003</w:t>
                  </w:r>
                </w:p>
              </w:tc>
              <w:tc>
                <w:tcPr>
                  <w:tcW w:w="2626" w:type="dxa"/>
                  <w:tcBorders>
                    <w:tl2br w:val="nil"/>
                    <w:tr2bl w:val="nil"/>
                  </w:tcBorders>
                  <w:shd w:val="clear" w:color="auto" w:fill="auto"/>
                  <w:vAlign w:val="center"/>
                </w:tcPr>
                <w:p>
                  <w:pPr>
                    <w:ind w:left="-42" w:leftChars="-20" w:right="-42" w:rightChars="-2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G5 配料废气</w:t>
                  </w:r>
                </w:p>
              </w:tc>
              <w:tc>
                <w:tcPr>
                  <w:tcW w:w="1426" w:type="dxa"/>
                  <w:vMerge w:val="restart"/>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苯、甲苯、二甲苯、DMF、非甲烷总烃</w:t>
                  </w:r>
                </w:p>
              </w:tc>
              <w:tc>
                <w:tcPr>
                  <w:tcW w:w="1809" w:type="dxa"/>
                  <w:tcBorders>
                    <w:tl2br w:val="nil"/>
                    <w:tr2bl w:val="nil"/>
                  </w:tcBorders>
                  <w:shd w:val="clear" w:color="auto" w:fill="auto"/>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集气罩（湿法配料区密闭收集）</w:t>
                  </w:r>
                </w:p>
              </w:tc>
              <w:tc>
                <w:tcPr>
                  <w:tcW w:w="1789" w:type="dxa"/>
                  <w:vMerge w:val="restart"/>
                  <w:tcBorders>
                    <w:tl2br w:val="nil"/>
                    <w:tr2bl w:val="nil"/>
                  </w:tcBorders>
                  <w:shd w:val="clear" w:color="auto" w:fill="auto"/>
                  <w:vAlign w:val="center"/>
                </w:tcPr>
                <w:p>
                  <w:pPr>
                    <w:pStyle w:val="16"/>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三段填料喷淋塔</w:t>
                  </w: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rPr>
                    <w:t>m高排气筒</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dxa"/>
                  <w:vMerge w:val="continue"/>
                  <w:tcBorders>
                    <w:tl2br w:val="nil"/>
                    <w:tr2bl w:val="nil"/>
                  </w:tcBorders>
                  <w:shd w:val="clear" w:color="auto" w:fill="auto"/>
                  <w:vAlign w:val="center"/>
                </w:tcPr>
                <w:p>
                  <w:pPr>
                    <w:ind w:left="-42" w:leftChars="-20" w:right="-42" w:rightChars="-20"/>
                    <w:jc w:val="center"/>
                    <w:rPr>
                      <w:rFonts w:hint="default" w:ascii="Times New Roman" w:hAnsi="Times New Roman" w:cs="Times New Roman"/>
                      <w:color w:val="auto"/>
                      <w:highlight w:val="none"/>
                    </w:rPr>
                  </w:pPr>
                </w:p>
              </w:tc>
              <w:tc>
                <w:tcPr>
                  <w:tcW w:w="2626" w:type="dxa"/>
                  <w:tcBorders>
                    <w:tl2br w:val="nil"/>
                    <w:tr2bl w:val="nil"/>
                  </w:tcBorders>
                  <w:shd w:val="clear" w:color="auto" w:fill="auto"/>
                  <w:vAlign w:val="center"/>
                </w:tcPr>
                <w:p>
                  <w:pPr>
                    <w:ind w:left="-42" w:leftChars="-20" w:right="-42" w:rightChars="-2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rPr>
                    <w:t xml:space="preserve">G6 </w:t>
                  </w:r>
                  <w:r>
                    <w:rPr>
                      <w:rFonts w:hint="default" w:ascii="Times New Roman" w:hAnsi="Times New Roman" w:cs="Times New Roman"/>
                      <w:color w:val="auto"/>
                      <w:kern w:val="2"/>
                      <w:sz w:val="21"/>
                      <w:szCs w:val="21"/>
                      <w:highlight w:val="none"/>
                    </w:rPr>
                    <w:t>滚涂线</w:t>
                  </w:r>
                  <w:r>
                    <w:rPr>
                      <w:rFonts w:hint="default" w:ascii="Times New Roman" w:hAnsi="Times New Roman" w:cs="Times New Roman"/>
                      <w:color w:val="auto"/>
                      <w:kern w:val="2"/>
                      <w:sz w:val="21"/>
                      <w:szCs w:val="21"/>
                      <w:highlight w:val="none"/>
                      <w:lang w:val="en-US" w:eastAsia="zh-CN"/>
                    </w:rPr>
                    <w:t>滚涂</w:t>
                  </w:r>
                  <w:r>
                    <w:rPr>
                      <w:rFonts w:hint="default" w:ascii="Times New Roman" w:hAnsi="Times New Roman" w:cs="Times New Roman"/>
                      <w:color w:val="auto"/>
                      <w:kern w:val="2"/>
                      <w:sz w:val="21"/>
                      <w:szCs w:val="21"/>
                      <w:highlight w:val="none"/>
                    </w:rPr>
                    <w:t>废气</w:t>
                  </w:r>
                </w:p>
              </w:tc>
              <w:tc>
                <w:tcPr>
                  <w:tcW w:w="1426" w:type="dxa"/>
                  <w:vMerge w:val="continue"/>
                  <w:tcBorders>
                    <w:tl2br w:val="nil"/>
                    <w:tr2bl w:val="nil"/>
                  </w:tcBorders>
                  <w:shd w:val="clear" w:color="auto" w:fill="auto"/>
                  <w:vAlign w:val="center"/>
                </w:tcPr>
                <w:p>
                  <w:pPr>
                    <w:ind w:left="-42" w:leftChars="-20" w:right="-42" w:rightChars="-20"/>
                    <w:jc w:val="center"/>
                    <w:rPr>
                      <w:rFonts w:hint="default" w:ascii="Times New Roman" w:hAnsi="Times New Roman" w:cs="Times New Roman"/>
                      <w:color w:val="auto"/>
                      <w:kern w:val="2"/>
                      <w:sz w:val="21"/>
                      <w:szCs w:val="21"/>
                      <w:highlight w:val="none"/>
                    </w:rPr>
                  </w:pPr>
                </w:p>
              </w:tc>
              <w:tc>
                <w:tcPr>
                  <w:tcW w:w="1809" w:type="dxa"/>
                  <w:vMerge w:val="restart"/>
                  <w:tcBorders>
                    <w:tl2br w:val="nil"/>
                    <w:tr2bl w:val="nil"/>
                  </w:tcBorders>
                  <w:shd w:val="clear" w:color="auto" w:fill="auto"/>
                  <w:vAlign w:val="center"/>
                </w:tcPr>
                <w:p>
                  <w:pPr>
                    <w:ind w:left="-42" w:leftChars="-20" w:right="-42" w:rightChars="-2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Cs w:val="21"/>
                      <w:highlight w:val="none"/>
                      <w:lang w:val="en-US" w:eastAsia="zh-CN"/>
                    </w:rPr>
                    <w:t>密闭收集</w:t>
                  </w:r>
                </w:p>
              </w:tc>
              <w:tc>
                <w:tcPr>
                  <w:tcW w:w="1789" w:type="dxa"/>
                  <w:vMerge w:val="continue"/>
                  <w:tcBorders>
                    <w:tl2br w:val="nil"/>
                    <w:tr2bl w:val="nil"/>
                  </w:tcBorders>
                  <w:shd w:val="clear" w:color="auto" w:fill="auto"/>
                  <w:vAlign w:val="center"/>
                </w:tcPr>
                <w:p>
                  <w:pPr>
                    <w:ind w:left="-42" w:leftChars="-20" w:right="-42" w:rightChars="-20"/>
                    <w:jc w:val="center"/>
                    <w:rPr>
                      <w:rFonts w:hint="default" w:ascii="Times New Roman" w:hAnsi="Times New Roman" w:cs="Times New Roman"/>
                      <w:color w:val="auto"/>
                      <w:kern w:val="2"/>
                      <w:sz w:val="21"/>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dxa"/>
                  <w:vMerge w:val="continue"/>
                  <w:tcBorders>
                    <w:tl2br w:val="nil"/>
                    <w:tr2bl w:val="nil"/>
                  </w:tcBorders>
                  <w:shd w:val="clear" w:color="auto" w:fill="auto"/>
                  <w:vAlign w:val="center"/>
                </w:tcPr>
                <w:p>
                  <w:pPr>
                    <w:ind w:left="-42" w:leftChars="-20" w:right="-42" w:rightChars="-20"/>
                    <w:jc w:val="center"/>
                    <w:rPr>
                      <w:rFonts w:hint="default" w:ascii="Times New Roman" w:hAnsi="Times New Roman" w:cs="Times New Roman"/>
                      <w:color w:val="auto"/>
                      <w:kern w:val="2"/>
                      <w:sz w:val="21"/>
                      <w:szCs w:val="21"/>
                      <w:highlight w:val="none"/>
                    </w:rPr>
                  </w:pPr>
                </w:p>
              </w:tc>
              <w:tc>
                <w:tcPr>
                  <w:tcW w:w="2626" w:type="dxa"/>
                  <w:tcBorders>
                    <w:tl2br w:val="nil"/>
                    <w:tr2bl w:val="nil"/>
                  </w:tcBorders>
                  <w:shd w:val="clear" w:color="auto" w:fill="auto"/>
                  <w:vAlign w:val="center"/>
                </w:tcPr>
                <w:p>
                  <w:pPr>
                    <w:ind w:left="-42" w:leftChars="-20" w:right="-42" w:rightChars="-2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 xml:space="preserve">G7 </w:t>
                  </w:r>
                  <w:r>
                    <w:rPr>
                      <w:rFonts w:hint="default" w:ascii="Times New Roman" w:hAnsi="Times New Roman" w:cs="Times New Roman"/>
                      <w:color w:val="auto"/>
                      <w:kern w:val="2"/>
                      <w:sz w:val="21"/>
                      <w:szCs w:val="21"/>
                      <w:highlight w:val="none"/>
                    </w:rPr>
                    <w:t>滚涂线</w:t>
                  </w:r>
                  <w:r>
                    <w:rPr>
                      <w:rFonts w:hint="default" w:ascii="Times New Roman" w:hAnsi="Times New Roman" w:cs="Times New Roman"/>
                      <w:color w:val="auto"/>
                      <w:kern w:val="2"/>
                      <w:sz w:val="21"/>
                      <w:szCs w:val="21"/>
                      <w:highlight w:val="none"/>
                      <w:lang w:val="en-US" w:eastAsia="zh-CN"/>
                    </w:rPr>
                    <w:t>烘干</w:t>
                  </w:r>
                  <w:r>
                    <w:rPr>
                      <w:rFonts w:hint="default" w:ascii="Times New Roman" w:hAnsi="Times New Roman" w:cs="Times New Roman"/>
                      <w:color w:val="auto"/>
                      <w:kern w:val="2"/>
                      <w:sz w:val="21"/>
                      <w:szCs w:val="21"/>
                      <w:highlight w:val="none"/>
                    </w:rPr>
                    <w:t>废气</w:t>
                  </w:r>
                </w:p>
              </w:tc>
              <w:tc>
                <w:tcPr>
                  <w:tcW w:w="1426" w:type="dxa"/>
                  <w:vMerge w:val="continue"/>
                  <w:tcBorders>
                    <w:tl2br w:val="nil"/>
                    <w:tr2bl w:val="nil"/>
                  </w:tcBorders>
                  <w:shd w:val="clear" w:color="auto" w:fill="auto"/>
                  <w:vAlign w:val="center"/>
                </w:tcPr>
                <w:p>
                  <w:pPr>
                    <w:ind w:left="-42" w:leftChars="-20" w:right="-42" w:rightChars="-20"/>
                    <w:jc w:val="center"/>
                    <w:rPr>
                      <w:rFonts w:hint="default" w:ascii="Times New Roman" w:hAnsi="Times New Roman" w:cs="Times New Roman"/>
                      <w:color w:val="auto"/>
                      <w:kern w:val="2"/>
                      <w:sz w:val="21"/>
                      <w:szCs w:val="21"/>
                      <w:highlight w:val="none"/>
                    </w:rPr>
                  </w:pPr>
                </w:p>
              </w:tc>
              <w:tc>
                <w:tcPr>
                  <w:tcW w:w="1809" w:type="dxa"/>
                  <w:vMerge w:val="continue"/>
                  <w:tcBorders>
                    <w:tl2br w:val="nil"/>
                    <w:tr2bl w:val="nil"/>
                  </w:tcBorders>
                  <w:shd w:val="clear" w:color="auto" w:fill="auto"/>
                  <w:vAlign w:val="center"/>
                </w:tcPr>
                <w:p>
                  <w:pPr>
                    <w:ind w:left="-42" w:leftChars="-20" w:right="-42" w:rightChars="-20"/>
                    <w:jc w:val="center"/>
                    <w:rPr>
                      <w:rFonts w:hint="default" w:ascii="Times New Roman" w:hAnsi="Times New Roman" w:cs="Times New Roman"/>
                      <w:color w:val="auto"/>
                      <w:kern w:val="2"/>
                      <w:sz w:val="21"/>
                      <w:szCs w:val="21"/>
                      <w:highlight w:val="none"/>
                    </w:rPr>
                  </w:pPr>
                </w:p>
              </w:tc>
              <w:tc>
                <w:tcPr>
                  <w:tcW w:w="1789" w:type="dxa"/>
                  <w:vMerge w:val="continue"/>
                  <w:tcBorders>
                    <w:tl2br w:val="nil"/>
                    <w:tr2bl w:val="nil"/>
                  </w:tcBorders>
                  <w:shd w:val="clear" w:color="auto" w:fill="auto"/>
                  <w:vAlign w:val="center"/>
                </w:tcPr>
                <w:p>
                  <w:pPr>
                    <w:ind w:left="-42" w:leftChars="-20" w:right="-42" w:rightChars="-20"/>
                    <w:jc w:val="center"/>
                    <w:rPr>
                      <w:rFonts w:hint="default" w:ascii="Times New Roman" w:hAnsi="Times New Roman" w:cs="Times New Roman"/>
                      <w:color w:val="auto"/>
                      <w:kern w:val="2"/>
                      <w:sz w:val="21"/>
                      <w:szCs w:val="21"/>
                      <w:highlight w:val="none"/>
                    </w:rPr>
                  </w:pPr>
                </w:p>
              </w:tc>
            </w:tr>
          </w:tbl>
          <w:p>
            <w:pPr>
              <w:pStyle w:val="5"/>
              <w:spacing w:line="240" w:lineRule="auto"/>
              <w:ind w:firstLine="480"/>
              <w:rPr>
                <w:rFonts w:hint="default" w:ascii="Times New Roman" w:hAnsi="Times New Roman" w:cs="Times New Roman"/>
                <w:color w:val="auto"/>
                <w:highlight w:val="none"/>
              </w:rPr>
            </w:pPr>
          </w:p>
          <w:p>
            <w:pPr>
              <w:pStyle w:val="5"/>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现有工程废气</w:t>
            </w:r>
            <w:r>
              <w:rPr>
                <w:rFonts w:hint="default" w:ascii="Times New Roman" w:hAnsi="Times New Roman" w:cs="Times New Roman"/>
                <w:color w:val="auto"/>
                <w:highlight w:val="none"/>
                <w:lang w:val="en-US" w:eastAsia="zh-CN"/>
              </w:rPr>
              <w:t>主要来源于配料、涂布、滚涂、印刷等工序产生的废气，为了解现有工程废气产生及排放情况，本评价引用福建瑞峰革业有限公司</w:t>
            </w:r>
            <w:r>
              <w:rPr>
                <w:rFonts w:hint="default" w:ascii="Times New Roman" w:hAnsi="Times New Roman" w:cs="Times New Roman"/>
                <w:color w:val="auto"/>
                <w:highlight w:val="none"/>
              </w:rPr>
              <w:t>委托福建</w:t>
            </w:r>
            <w:r>
              <w:rPr>
                <w:rFonts w:hint="default" w:ascii="Times New Roman" w:hAnsi="Times New Roman" w:cs="Times New Roman"/>
                <w:color w:val="auto"/>
                <w:highlight w:val="none"/>
                <w:lang w:val="en-US" w:eastAsia="zh-CN"/>
              </w:rPr>
              <w:t>中凯</w:t>
            </w:r>
            <w:r>
              <w:rPr>
                <w:rFonts w:hint="default" w:ascii="Times New Roman" w:hAnsi="Times New Roman" w:cs="Times New Roman"/>
                <w:color w:val="auto"/>
                <w:highlight w:val="none"/>
              </w:rPr>
              <w:t>检测技术有限公司于20</w:t>
            </w:r>
            <w:r>
              <w:rPr>
                <w:rFonts w:hint="default" w:ascii="Times New Roman" w:hAnsi="Times New Roman" w:cs="Times New Roman"/>
                <w:color w:val="auto"/>
                <w:highlight w:val="none"/>
                <w:lang w:val="en-US" w:eastAsia="zh-CN"/>
              </w:rPr>
              <w:t>21</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12月8</w:t>
            </w:r>
            <w:r>
              <w:rPr>
                <w:rFonts w:hint="default" w:ascii="Times New Roman" w:hAnsi="Times New Roman" w:cs="Times New Roman"/>
                <w:color w:val="auto"/>
                <w:highlight w:val="none"/>
              </w:rPr>
              <w:t>日对</w:t>
            </w:r>
            <w:r>
              <w:rPr>
                <w:rFonts w:hint="default" w:ascii="Times New Roman" w:hAnsi="Times New Roman" w:cs="Times New Roman"/>
                <w:color w:val="auto"/>
                <w:highlight w:val="none"/>
                <w:lang w:val="en-US" w:eastAsia="zh-CN"/>
              </w:rPr>
              <w:t>厂内有组织废气的自行</w:t>
            </w:r>
            <w:r>
              <w:rPr>
                <w:rFonts w:hint="default" w:ascii="Times New Roman" w:hAnsi="Times New Roman" w:cs="Times New Roman"/>
                <w:color w:val="auto"/>
                <w:highlight w:val="none"/>
              </w:rPr>
              <w:t>监测结果</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对</w:t>
            </w:r>
            <w:r>
              <w:rPr>
                <w:rFonts w:hint="default" w:ascii="Times New Roman" w:hAnsi="Times New Roman" w:cs="Times New Roman"/>
                <w:color w:val="auto"/>
                <w:highlight w:val="none"/>
                <w:lang w:eastAsia="zh-CN"/>
              </w:rPr>
              <w:t>现有工程</w:t>
            </w:r>
            <w:r>
              <w:rPr>
                <w:rFonts w:hint="default" w:ascii="Times New Roman" w:hAnsi="Times New Roman" w:cs="Times New Roman"/>
                <w:color w:val="auto"/>
                <w:highlight w:val="none"/>
              </w:rPr>
              <w:t>各废气污染物排放情况进行核算。</w:t>
            </w:r>
            <w:r>
              <w:rPr>
                <w:rFonts w:hint="default" w:ascii="Times New Roman" w:hAnsi="Times New Roman" w:cs="Times New Roman"/>
                <w:color w:val="auto"/>
                <w:highlight w:val="none"/>
                <w:lang w:val="en-US" w:eastAsia="zh-CN"/>
              </w:rPr>
              <w:t>监测期间工况达到100%。</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本项目涂布、印刷、烘干、滚涂等区域采用集气罩+密闭收集，考虑物料及人员出入，集气效率取90%；配料间采用集气罩收集，未完全密闭，因此集气效率取80%</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根据《福建瑞峰革业有限公司 年产400万米PU革深加工项目环境影响后评价》中对各排气筒进、出口监测数据，喷淋塔对污染物的处理效率为：苯进口浓度未检出（去除率参照甲苯去除率）；甲苯＞57%；二甲苯、DMF＞90%；非甲烷总烃＞85%。现有工程</w:t>
            </w:r>
            <w:r>
              <w:rPr>
                <w:rFonts w:hint="default" w:ascii="Times New Roman" w:hAnsi="Times New Roman" w:cs="Times New Roman"/>
                <w:color w:val="auto"/>
                <w:highlight w:val="none"/>
              </w:rPr>
              <w:t>废气产排情况见下表。</w:t>
            </w:r>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现有工程</w:t>
            </w:r>
            <w:r>
              <w:rPr>
                <w:rFonts w:hint="default" w:ascii="Times New Roman" w:hAnsi="Times New Roman" w:cs="Times New Roman"/>
                <w:color w:val="auto"/>
                <w:highlight w:val="none"/>
              </w:rPr>
              <w:t>废气产排情况表</w:t>
            </w:r>
          </w:p>
          <w:tbl>
            <w:tblPr>
              <w:tblStyle w:val="11"/>
              <w:tblW w:w="901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123"/>
              <w:gridCol w:w="1316"/>
              <w:gridCol w:w="1100"/>
              <w:gridCol w:w="650"/>
              <w:gridCol w:w="867"/>
              <w:gridCol w:w="900"/>
              <w:gridCol w:w="1067"/>
              <w:gridCol w:w="11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restart"/>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排气筒</w:t>
                  </w:r>
                </w:p>
              </w:tc>
              <w:tc>
                <w:tcPr>
                  <w:tcW w:w="2439" w:type="dxa"/>
                  <w:gridSpan w:val="2"/>
                  <w:vMerge w:val="restart"/>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污染物</w:t>
                  </w:r>
                </w:p>
              </w:tc>
              <w:tc>
                <w:tcPr>
                  <w:tcW w:w="1100" w:type="dxa"/>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出口</w:t>
                  </w:r>
                  <w:r>
                    <w:rPr>
                      <w:rFonts w:hint="default" w:ascii="Times New Roman" w:hAnsi="Times New Roman" w:cs="Times New Roman"/>
                      <w:color w:val="auto"/>
                      <w:highlight w:val="none"/>
                      <w:lang w:val="en-US" w:eastAsia="zh-CN"/>
                    </w:rPr>
                    <w:t>浓度</w:t>
                  </w:r>
                </w:p>
              </w:tc>
              <w:tc>
                <w:tcPr>
                  <w:tcW w:w="650" w:type="dxa"/>
                  <w:vMerge w:val="restart"/>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排放</w:t>
                  </w:r>
                </w:p>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限值</w:t>
                  </w:r>
                </w:p>
              </w:tc>
              <w:tc>
                <w:tcPr>
                  <w:tcW w:w="867" w:type="dxa"/>
                  <w:vMerge w:val="restart"/>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处理</w:t>
                  </w:r>
                </w:p>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效率</w:t>
                  </w:r>
                </w:p>
              </w:tc>
              <w:tc>
                <w:tcPr>
                  <w:tcW w:w="900" w:type="dxa"/>
                  <w:vMerge w:val="restart"/>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产生量</w:t>
                  </w:r>
                </w:p>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t/a</w:t>
                  </w:r>
                </w:p>
              </w:tc>
              <w:tc>
                <w:tcPr>
                  <w:tcW w:w="1067" w:type="dxa"/>
                  <w:vMerge w:val="restart"/>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有组织</w:t>
                  </w:r>
                  <w:r>
                    <w:rPr>
                      <w:rFonts w:hint="default" w:ascii="Times New Roman" w:hAnsi="Times New Roman" w:cs="Times New Roman"/>
                      <w:color w:val="auto"/>
                      <w:highlight w:val="none"/>
                    </w:rPr>
                    <w:t>排放量t/a</w:t>
                  </w:r>
                </w:p>
              </w:tc>
              <w:tc>
                <w:tcPr>
                  <w:tcW w:w="1113" w:type="dxa"/>
                  <w:vMerge w:val="restart"/>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无组织排放量t/a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2439" w:type="dxa"/>
                  <w:gridSpan w:val="2"/>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00"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均值</w:t>
                  </w:r>
                </w:p>
              </w:tc>
              <w:tc>
                <w:tcPr>
                  <w:tcW w:w="650"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867"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900"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067"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1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restart"/>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DA001</w:t>
                  </w:r>
                </w:p>
              </w:tc>
              <w:tc>
                <w:tcPr>
                  <w:tcW w:w="1123"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标干流量</w:t>
                  </w:r>
                </w:p>
              </w:tc>
              <w:tc>
                <w:tcPr>
                  <w:tcW w:w="1316"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/h</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18300</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9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0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1113"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restart"/>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苯</w:t>
                  </w:r>
                </w:p>
              </w:tc>
              <w:tc>
                <w:tcPr>
                  <w:tcW w:w="1316"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浓度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57%</w:t>
                  </w:r>
                </w:p>
              </w:tc>
              <w:tc>
                <w:tcPr>
                  <w:tcW w:w="900"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0.0034 </w:t>
                  </w:r>
                </w:p>
              </w:tc>
              <w:tc>
                <w:tcPr>
                  <w:tcW w:w="1067"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0.0013 </w:t>
                  </w:r>
                </w:p>
              </w:tc>
              <w:tc>
                <w:tcPr>
                  <w:tcW w:w="111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0.0003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316"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速率（kg/h）</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0.0002 </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900"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067"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113"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restart"/>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甲苯</w:t>
                  </w: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浓度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0.164</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15</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57%</w:t>
                  </w:r>
                </w:p>
              </w:tc>
              <w:tc>
                <w:tcPr>
                  <w:tcW w:w="900"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0.0558 </w:t>
                  </w:r>
                </w:p>
              </w:tc>
              <w:tc>
                <w:tcPr>
                  <w:tcW w:w="1067"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0.0216 </w:t>
                  </w:r>
                </w:p>
              </w:tc>
              <w:tc>
                <w:tcPr>
                  <w:tcW w:w="111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0.0056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速率（kg/h）</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0.0030 </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900"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067"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113"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restart"/>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二甲苯</w:t>
                  </w: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浓度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0.119</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20</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90%</w:t>
                  </w:r>
                </w:p>
              </w:tc>
              <w:tc>
                <w:tcPr>
                  <w:tcW w:w="900"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0.1742 </w:t>
                  </w:r>
                </w:p>
              </w:tc>
              <w:tc>
                <w:tcPr>
                  <w:tcW w:w="1067"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0.0157 </w:t>
                  </w:r>
                </w:p>
              </w:tc>
              <w:tc>
                <w:tcPr>
                  <w:tcW w:w="111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0.0174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速率（kg/h）</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0.0022 </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900"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067"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113"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restart"/>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NMHC</w:t>
                  </w: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浓度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30.6</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100</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85%</w:t>
                  </w:r>
                </w:p>
              </w:tc>
              <w:tc>
                <w:tcPr>
                  <w:tcW w:w="900"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29.8656 </w:t>
                  </w:r>
                </w:p>
              </w:tc>
              <w:tc>
                <w:tcPr>
                  <w:tcW w:w="1067"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4.0319 </w:t>
                  </w:r>
                </w:p>
              </w:tc>
              <w:tc>
                <w:tcPr>
                  <w:tcW w:w="111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2.9866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速率（kg/h）</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0.5600 </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2.76</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900"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067"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113"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restart"/>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DMF</w:t>
                  </w: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浓度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7.6</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30</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90%</w:t>
                  </w:r>
                </w:p>
              </w:tc>
              <w:tc>
                <w:tcPr>
                  <w:tcW w:w="900"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11.1264 </w:t>
                  </w:r>
                </w:p>
              </w:tc>
              <w:tc>
                <w:tcPr>
                  <w:tcW w:w="1067"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1.0014 </w:t>
                  </w:r>
                </w:p>
              </w:tc>
              <w:tc>
                <w:tcPr>
                  <w:tcW w:w="111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1.1126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速率（kg/h）</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0.1391 </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900"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067"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113"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restart"/>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DA002</w:t>
                  </w:r>
                </w:p>
              </w:tc>
              <w:tc>
                <w:tcPr>
                  <w:tcW w:w="1123"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标干流量</w:t>
                  </w: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/h</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17400</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9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0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113"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苯</w:t>
                  </w: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浓度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57%</w:t>
                  </w:r>
                </w:p>
              </w:tc>
              <w:tc>
                <w:tcPr>
                  <w:tcW w:w="900"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0.0032 </w:t>
                  </w:r>
                </w:p>
              </w:tc>
              <w:tc>
                <w:tcPr>
                  <w:tcW w:w="1067"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0.0013 </w:t>
                  </w:r>
                </w:p>
              </w:tc>
              <w:tc>
                <w:tcPr>
                  <w:tcW w:w="111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0.0003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速率（kg/h）</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0.0002 </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900"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067"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113"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甲苯</w:t>
                  </w: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浓度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0.178</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15</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57%</w:t>
                  </w:r>
                </w:p>
              </w:tc>
              <w:tc>
                <w:tcPr>
                  <w:tcW w:w="900"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0.0576 </w:t>
                  </w:r>
                </w:p>
              </w:tc>
              <w:tc>
                <w:tcPr>
                  <w:tcW w:w="1067"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0.0223 </w:t>
                  </w:r>
                </w:p>
              </w:tc>
              <w:tc>
                <w:tcPr>
                  <w:tcW w:w="111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0.0058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速率（kg/h）</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0.0031 </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900"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067"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113"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二甲苯</w:t>
                  </w: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浓度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20</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90%</w:t>
                  </w:r>
                </w:p>
              </w:tc>
              <w:tc>
                <w:tcPr>
                  <w:tcW w:w="900"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0.0139 </w:t>
                  </w:r>
                </w:p>
              </w:tc>
              <w:tc>
                <w:tcPr>
                  <w:tcW w:w="1067"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0.0013 </w:t>
                  </w:r>
                </w:p>
              </w:tc>
              <w:tc>
                <w:tcPr>
                  <w:tcW w:w="111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0.0014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速率（kg/h）</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0.0002 </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900"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067"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113"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NMHC</w:t>
                  </w: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浓度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18.5</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100</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85%</w:t>
                  </w:r>
                </w:p>
              </w:tc>
              <w:tc>
                <w:tcPr>
                  <w:tcW w:w="900"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17.1680 </w:t>
                  </w:r>
                </w:p>
              </w:tc>
              <w:tc>
                <w:tcPr>
                  <w:tcW w:w="1067"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2.3177 </w:t>
                  </w:r>
                </w:p>
              </w:tc>
              <w:tc>
                <w:tcPr>
                  <w:tcW w:w="111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1.7168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速率（kg/h）</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0.3219 </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2.76</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900"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067"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113"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DMF</w:t>
                  </w: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浓度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6.6</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30</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90%</w:t>
                  </w:r>
                </w:p>
              </w:tc>
              <w:tc>
                <w:tcPr>
                  <w:tcW w:w="900"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9.1872 </w:t>
                  </w:r>
                </w:p>
              </w:tc>
              <w:tc>
                <w:tcPr>
                  <w:tcW w:w="1067"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0.8268 </w:t>
                  </w:r>
                </w:p>
              </w:tc>
              <w:tc>
                <w:tcPr>
                  <w:tcW w:w="111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0.9187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速率（kg/h）</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0.1148 </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900"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067"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113"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restart"/>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DA00</w:t>
                  </w:r>
                  <w:r>
                    <w:rPr>
                      <w:rFonts w:hint="default" w:ascii="Times New Roman" w:hAnsi="Times New Roman" w:cs="Times New Roman"/>
                      <w:color w:val="auto"/>
                      <w:highlight w:val="none"/>
                    </w:rPr>
                    <w:t>3</w:t>
                  </w:r>
                </w:p>
              </w:tc>
              <w:tc>
                <w:tcPr>
                  <w:tcW w:w="1123"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标干流量</w:t>
                  </w: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/h</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16700</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9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0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113"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苯</w:t>
                  </w: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浓度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ND</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57%</w:t>
                  </w:r>
                </w:p>
              </w:tc>
              <w:tc>
                <w:tcPr>
                  <w:tcW w:w="900"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0.0035 </w:t>
                  </w:r>
                </w:p>
              </w:tc>
              <w:tc>
                <w:tcPr>
                  <w:tcW w:w="1067"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0.0012 </w:t>
                  </w:r>
                </w:p>
              </w:tc>
              <w:tc>
                <w:tcPr>
                  <w:tcW w:w="111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0.0007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速率（kg/h）</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0.0002 </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900"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067"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113"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甲苯</w:t>
                  </w: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浓度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0.193</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15</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57%</w:t>
                  </w:r>
                </w:p>
              </w:tc>
              <w:tc>
                <w:tcPr>
                  <w:tcW w:w="900"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0.0675 </w:t>
                  </w:r>
                </w:p>
              </w:tc>
              <w:tc>
                <w:tcPr>
                  <w:tcW w:w="1067"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0.0232 </w:t>
                  </w:r>
                </w:p>
              </w:tc>
              <w:tc>
                <w:tcPr>
                  <w:tcW w:w="111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0.0135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速率（kg/h）</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0.0032 </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900"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067"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113"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二甲苯</w:t>
                  </w: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浓度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0.103</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20</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90%</w:t>
                  </w:r>
                </w:p>
              </w:tc>
              <w:tc>
                <w:tcPr>
                  <w:tcW w:w="900"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0.1548 </w:t>
                  </w:r>
                </w:p>
              </w:tc>
              <w:tc>
                <w:tcPr>
                  <w:tcW w:w="1067"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0.0124 </w:t>
                  </w:r>
                </w:p>
              </w:tc>
              <w:tc>
                <w:tcPr>
                  <w:tcW w:w="111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0.0310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速率（kg/h）</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0.0017 </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900"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067"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113"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NMHC</w:t>
                  </w: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浓度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41.1</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100</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85%</w:t>
                  </w:r>
                </w:p>
              </w:tc>
              <w:tc>
                <w:tcPr>
                  <w:tcW w:w="900"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41.1822 </w:t>
                  </w:r>
                </w:p>
              </w:tc>
              <w:tc>
                <w:tcPr>
                  <w:tcW w:w="1067"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4.9419 </w:t>
                  </w:r>
                </w:p>
              </w:tc>
              <w:tc>
                <w:tcPr>
                  <w:tcW w:w="111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8.2364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速率（kg/h）</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0.6864 </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2.76</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900"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067"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c>
                <w:tcPr>
                  <w:tcW w:w="1113"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DMF</w:t>
                  </w: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浓度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8.9</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30</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90%</w:t>
                  </w:r>
                </w:p>
              </w:tc>
              <w:tc>
                <w:tcPr>
                  <w:tcW w:w="900"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13.3767 </w:t>
                  </w:r>
                </w:p>
              </w:tc>
              <w:tc>
                <w:tcPr>
                  <w:tcW w:w="1067"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1.0701 </w:t>
                  </w:r>
                </w:p>
              </w:tc>
              <w:tc>
                <w:tcPr>
                  <w:tcW w:w="1113" w:type="dxa"/>
                  <w:vMerge w:val="restart"/>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2.6753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12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31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速率（kg/h）</w:t>
                  </w:r>
                </w:p>
              </w:tc>
              <w:tc>
                <w:tcPr>
                  <w:tcW w:w="11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 xml:space="preserve">0.1486 </w:t>
                  </w:r>
                </w:p>
              </w:tc>
              <w:tc>
                <w:tcPr>
                  <w:tcW w:w="6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8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w:t>
                  </w:r>
                </w:p>
              </w:tc>
              <w:tc>
                <w:tcPr>
                  <w:tcW w:w="900"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p>
              </w:tc>
              <w:tc>
                <w:tcPr>
                  <w:tcW w:w="1067"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p>
              </w:tc>
              <w:tc>
                <w:tcPr>
                  <w:tcW w:w="1113" w:type="dxa"/>
                  <w:vMerge w:val="continue"/>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restart"/>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合计</w:t>
                  </w:r>
                </w:p>
              </w:tc>
              <w:tc>
                <w:tcPr>
                  <w:tcW w:w="1123"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苯</w:t>
                  </w:r>
                </w:p>
              </w:tc>
              <w:tc>
                <w:tcPr>
                  <w:tcW w:w="3933" w:type="dxa"/>
                  <w:gridSpan w:val="4"/>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w:t>
                  </w:r>
                </w:p>
              </w:tc>
              <w:tc>
                <w:tcPr>
                  <w:tcW w:w="9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0.0101 </w:t>
                  </w:r>
                </w:p>
              </w:tc>
              <w:tc>
                <w:tcPr>
                  <w:tcW w:w="10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0.0038 </w:t>
                  </w:r>
                </w:p>
              </w:tc>
              <w:tc>
                <w:tcPr>
                  <w:tcW w:w="1113"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0.0014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lang w:val="en-US" w:eastAsia="zh-CN"/>
                    </w:rPr>
                  </w:pPr>
                </w:p>
              </w:tc>
              <w:tc>
                <w:tcPr>
                  <w:tcW w:w="1123"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甲苯</w:t>
                  </w:r>
                </w:p>
              </w:tc>
              <w:tc>
                <w:tcPr>
                  <w:tcW w:w="3933" w:type="dxa"/>
                  <w:gridSpan w:val="4"/>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w:t>
                  </w:r>
                </w:p>
              </w:tc>
              <w:tc>
                <w:tcPr>
                  <w:tcW w:w="9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0.1809 </w:t>
                  </w:r>
                </w:p>
              </w:tc>
              <w:tc>
                <w:tcPr>
                  <w:tcW w:w="10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0.0671 </w:t>
                  </w:r>
                </w:p>
              </w:tc>
              <w:tc>
                <w:tcPr>
                  <w:tcW w:w="1113"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0.0248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lang w:val="en-US" w:eastAsia="zh-CN"/>
                    </w:rPr>
                  </w:pPr>
                </w:p>
              </w:tc>
              <w:tc>
                <w:tcPr>
                  <w:tcW w:w="1123"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二甲苯</w:t>
                  </w:r>
                </w:p>
              </w:tc>
              <w:tc>
                <w:tcPr>
                  <w:tcW w:w="3933" w:type="dxa"/>
                  <w:gridSpan w:val="4"/>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w:t>
                  </w:r>
                </w:p>
              </w:tc>
              <w:tc>
                <w:tcPr>
                  <w:tcW w:w="9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0.3429 </w:t>
                  </w:r>
                </w:p>
              </w:tc>
              <w:tc>
                <w:tcPr>
                  <w:tcW w:w="10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0.0293 </w:t>
                  </w:r>
                </w:p>
              </w:tc>
              <w:tc>
                <w:tcPr>
                  <w:tcW w:w="1113"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0.0498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lang w:val="en-US" w:eastAsia="zh-CN"/>
                    </w:rPr>
                  </w:pPr>
                </w:p>
              </w:tc>
              <w:tc>
                <w:tcPr>
                  <w:tcW w:w="1123"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NMHC</w:t>
                  </w:r>
                </w:p>
              </w:tc>
              <w:tc>
                <w:tcPr>
                  <w:tcW w:w="3933" w:type="dxa"/>
                  <w:gridSpan w:val="4"/>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w:t>
                  </w:r>
                </w:p>
              </w:tc>
              <w:tc>
                <w:tcPr>
                  <w:tcW w:w="9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88.2158 </w:t>
                  </w:r>
                </w:p>
              </w:tc>
              <w:tc>
                <w:tcPr>
                  <w:tcW w:w="10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11.2914 </w:t>
                  </w:r>
                </w:p>
              </w:tc>
              <w:tc>
                <w:tcPr>
                  <w:tcW w:w="1113"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12.9398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76"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lang w:val="en-US" w:eastAsia="zh-CN"/>
                    </w:rPr>
                  </w:pPr>
                </w:p>
              </w:tc>
              <w:tc>
                <w:tcPr>
                  <w:tcW w:w="1123"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DMF</w:t>
                  </w:r>
                </w:p>
              </w:tc>
              <w:tc>
                <w:tcPr>
                  <w:tcW w:w="3933" w:type="dxa"/>
                  <w:gridSpan w:val="4"/>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w:t>
                  </w:r>
                </w:p>
              </w:tc>
              <w:tc>
                <w:tcPr>
                  <w:tcW w:w="90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33.6903 </w:t>
                  </w:r>
                </w:p>
              </w:tc>
              <w:tc>
                <w:tcPr>
                  <w:tcW w:w="1067"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2.8984 </w:t>
                  </w:r>
                </w:p>
              </w:tc>
              <w:tc>
                <w:tcPr>
                  <w:tcW w:w="1113"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4.7067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12" w:type="dxa"/>
                  <w:gridSpan w:val="9"/>
                  <w:tcBorders>
                    <w:tl2br w:val="nil"/>
                    <w:tr2bl w:val="nil"/>
                  </w:tcBorders>
                  <w:shd w:val="clear" w:color="auto" w:fill="auto"/>
                  <w:vAlign w:val="center"/>
                </w:tcPr>
                <w:p>
                  <w:pPr>
                    <w:pStyle w:val="16"/>
                    <w:jc w:val="both"/>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注：表中监测数据ND低于方法检出限，以检出限计。</w:t>
                  </w:r>
                </w:p>
              </w:tc>
            </w:tr>
          </w:tbl>
          <w:p>
            <w:pPr>
              <w:pStyle w:val="5"/>
              <w:spacing w:line="240" w:lineRule="auto"/>
              <w:ind w:firstLine="480"/>
              <w:rPr>
                <w:rFonts w:hint="default" w:ascii="Times New Roman" w:hAnsi="Times New Roman" w:cs="Times New Roman"/>
                <w:color w:val="auto"/>
                <w:highlight w:val="none"/>
              </w:rPr>
            </w:pP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根据上表可知，</w:t>
            </w:r>
            <w:r>
              <w:rPr>
                <w:rFonts w:hint="default" w:ascii="Times New Roman" w:hAnsi="Times New Roman" w:cs="Times New Roman"/>
                <w:color w:val="auto"/>
                <w:highlight w:val="none"/>
                <w:lang w:val="en-US" w:eastAsia="zh-CN"/>
              </w:rPr>
              <w:t>各排气筒苯、二甲苯、甲苯、DMF及非甲烷总烃排放浓度及排放速率可满足《工业企业挥发性有机物排放标准》（DB35/1782-2018）表1合成革与人造革排放限值</w:t>
            </w:r>
            <w:r>
              <w:rPr>
                <w:rFonts w:hint="default" w:ascii="Times New Roman" w:hAnsi="Times New Roman" w:cs="Times New Roman"/>
                <w:color w:val="auto"/>
                <w:highlight w:val="none"/>
              </w:rPr>
              <w:t>。</w:t>
            </w:r>
          </w:p>
          <w:p>
            <w:pPr>
              <w:pStyle w:val="5"/>
              <w:ind w:left="420" w:leftChars="20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②</w:t>
            </w:r>
            <w:r>
              <w:rPr>
                <w:rFonts w:hint="default" w:ascii="Times New Roman" w:hAnsi="Times New Roman" w:cs="Times New Roman"/>
                <w:color w:val="auto"/>
                <w:highlight w:val="none"/>
              </w:rPr>
              <w:t>无组织废气</w:t>
            </w:r>
          </w:p>
          <w:p>
            <w:pPr>
              <w:pStyle w:val="5"/>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现有工程无组织废气主要来源于生产线未被收集处理的有机废气、DMF储罐呼吸产生的废气。生产线无组织废气排放量见表</w:t>
            </w:r>
            <w:r>
              <w:rPr>
                <w:rFonts w:hint="default" w:ascii="Times New Roman" w:hAnsi="Times New Roman" w:cs="Times New Roman"/>
                <w:color w:val="auto"/>
                <w:highlight w:val="none"/>
                <w:lang w:val="en-US" w:eastAsia="zh-CN"/>
              </w:rPr>
              <w:t>15</w:t>
            </w:r>
            <w:r>
              <w:rPr>
                <w:rFonts w:hint="default" w:ascii="Times New Roman" w:hAnsi="Times New Roman" w:cs="Times New Roman"/>
                <w:color w:val="auto"/>
                <w:highlight w:val="none"/>
              </w:rPr>
              <w:t>，DMF储罐采用立式的固定顶罐，不锈钢材质，常压储存，根据美国石油学会提出的估算方法进行测算，</w:t>
            </w:r>
            <w:r>
              <w:rPr>
                <w:rFonts w:hint="default" w:ascii="Times New Roman" w:hAnsi="Times New Roman" w:cs="Times New Roman"/>
                <w:color w:val="auto"/>
                <w:highlight w:val="none"/>
                <w:lang w:val="en-US" w:eastAsia="zh-CN"/>
              </w:rPr>
              <w:t>现有工程</w:t>
            </w:r>
            <w:r>
              <w:rPr>
                <w:rFonts w:hint="default" w:ascii="Times New Roman" w:hAnsi="Times New Roman" w:cs="Times New Roman"/>
                <w:color w:val="auto"/>
                <w:highlight w:val="none"/>
              </w:rPr>
              <w:t>大小呼吸量合计0.0</w:t>
            </w:r>
            <w:r>
              <w:rPr>
                <w:rFonts w:hint="default" w:ascii="Times New Roman" w:hAnsi="Times New Roman" w:cs="Times New Roman"/>
                <w:color w:val="auto"/>
                <w:highlight w:val="none"/>
                <w:lang w:val="en-US" w:eastAsia="zh-CN"/>
              </w:rPr>
              <w:t>126</w:t>
            </w:r>
            <w:r>
              <w:rPr>
                <w:rFonts w:hint="default" w:ascii="Times New Roman" w:hAnsi="Times New Roman" w:cs="Times New Roman"/>
                <w:color w:val="auto"/>
                <w:highlight w:val="none"/>
              </w:rPr>
              <w:t>t/a</w:t>
            </w:r>
            <w:r>
              <w:rPr>
                <w:rFonts w:hint="default" w:ascii="Times New Roman" w:hAnsi="Times New Roman" w:cs="Times New Roman"/>
                <w:color w:val="auto"/>
                <w:highlight w:val="none"/>
                <w:lang w:eastAsia="zh-CN"/>
              </w:rPr>
              <w:t>。</w:t>
            </w:r>
          </w:p>
          <w:p>
            <w:pPr>
              <w:pStyle w:val="5"/>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val="en-US" w:eastAsia="zh-CN"/>
              </w:rPr>
              <w:t>福建瑞峰革业有限公司</w:t>
            </w:r>
            <w:r>
              <w:rPr>
                <w:rFonts w:hint="default" w:ascii="Times New Roman" w:hAnsi="Times New Roman" w:cs="Times New Roman"/>
                <w:color w:val="auto"/>
                <w:highlight w:val="none"/>
              </w:rPr>
              <w:t>委托福建</w:t>
            </w:r>
            <w:r>
              <w:rPr>
                <w:rFonts w:hint="default" w:ascii="Times New Roman" w:hAnsi="Times New Roman" w:cs="Times New Roman"/>
                <w:color w:val="auto"/>
                <w:highlight w:val="none"/>
                <w:lang w:val="en-US" w:eastAsia="zh-CN"/>
              </w:rPr>
              <w:t>中凯</w:t>
            </w:r>
            <w:r>
              <w:rPr>
                <w:rFonts w:hint="default" w:ascii="Times New Roman" w:hAnsi="Times New Roman" w:cs="Times New Roman"/>
                <w:color w:val="auto"/>
                <w:highlight w:val="none"/>
              </w:rPr>
              <w:t>检测技术有限公司于20</w:t>
            </w:r>
            <w:r>
              <w:rPr>
                <w:rFonts w:hint="default" w:ascii="Times New Roman" w:hAnsi="Times New Roman" w:cs="Times New Roman"/>
                <w:color w:val="auto"/>
                <w:highlight w:val="none"/>
                <w:lang w:val="en-US" w:eastAsia="zh-CN"/>
              </w:rPr>
              <w:t>21</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12月~2022年6月</w:t>
            </w:r>
            <w:r>
              <w:rPr>
                <w:rFonts w:hint="default" w:ascii="Times New Roman" w:hAnsi="Times New Roman" w:cs="Times New Roman"/>
                <w:color w:val="auto"/>
                <w:highlight w:val="none"/>
              </w:rPr>
              <w:t>对现有</w:t>
            </w:r>
            <w:r>
              <w:rPr>
                <w:rFonts w:hint="default" w:ascii="Times New Roman" w:hAnsi="Times New Roman" w:cs="Times New Roman"/>
                <w:color w:val="auto"/>
                <w:highlight w:val="none"/>
                <w:lang w:val="en-US" w:eastAsia="zh-CN"/>
              </w:rPr>
              <w:t>工程</w:t>
            </w:r>
            <w:r>
              <w:rPr>
                <w:rFonts w:hint="default" w:ascii="Times New Roman" w:hAnsi="Times New Roman" w:cs="Times New Roman"/>
                <w:color w:val="auto"/>
                <w:highlight w:val="none"/>
              </w:rPr>
              <w:t>厂界</w:t>
            </w:r>
            <w:r>
              <w:rPr>
                <w:rFonts w:hint="default" w:ascii="Times New Roman" w:hAnsi="Times New Roman" w:cs="Times New Roman"/>
                <w:color w:val="auto"/>
                <w:highlight w:val="none"/>
                <w:lang w:val="en-US" w:eastAsia="zh-CN"/>
              </w:rPr>
              <w:t>各污染物无组织排放浓度的监测结果，苯、甲苯、二甲苯及DMF厂界无组织浓度均低于方法检出限，</w:t>
            </w:r>
            <w:r>
              <w:rPr>
                <w:rFonts w:hint="default" w:ascii="Times New Roman" w:hAnsi="Times New Roman" w:cs="Times New Roman"/>
                <w:color w:val="auto"/>
                <w:highlight w:val="none"/>
              </w:rPr>
              <w:t>非甲烷总烃厂界无组织排放浓度在</w:t>
            </w:r>
            <w:r>
              <w:rPr>
                <w:rFonts w:hint="default" w:ascii="Times New Roman" w:hAnsi="Times New Roman" w:cs="Times New Roman"/>
                <w:color w:val="auto"/>
                <w:highlight w:val="none"/>
                <w:lang w:val="en-US" w:eastAsia="zh-CN"/>
              </w:rPr>
              <w:t>0.43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0.78</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各污染物浓度均</w:t>
            </w:r>
            <w:r>
              <w:rPr>
                <w:rFonts w:hint="default" w:ascii="Times New Roman" w:hAnsi="Times New Roman" w:cs="Times New Roman"/>
                <w:color w:val="auto"/>
                <w:highlight w:val="none"/>
              </w:rPr>
              <w:t>满足《工业企业挥发性有机物排放标准》（DB35/1782-2018）表3中的所有行业企业边界监控点浓度标准限值。</w:t>
            </w:r>
            <w:r>
              <w:rPr>
                <w:rFonts w:hint="default" w:ascii="Times New Roman" w:hAnsi="Times New Roman" w:cs="Times New Roman"/>
                <w:color w:val="auto"/>
                <w:highlight w:val="none"/>
                <w:lang w:val="en-US" w:eastAsia="zh-CN"/>
              </w:rPr>
              <w:t>其中</w:t>
            </w:r>
            <w:r>
              <w:rPr>
                <w:rFonts w:hint="default" w:ascii="Times New Roman" w:hAnsi="Times New Roman" w:cs="Times New Roman"/>
                <w:color w:val="auto"/>
                <w:highlight w:val="none"/>
              </w:rPr>
              <w:t>，厂内非甲烷总烃1h平均浓度值为</w:t>
            </w:r>
            <w:r>
              <w:rPr>
                <w:rFonts w:hint="default" w:ascii="Times New Roman" w:hAnsi="Times New Roman" w:cs="Times New Roman"/>
                <w:color w:val="auto"/>
                <w:highlight w:val="none"/>
                <w:lang w:val="en-US" w:eastAsia="zh-CN"/>
              </w:rPr>
              <w:t>1.09~1.47</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，满足《工业企业挥发性有机物排放标准》（DB35/1782-2018）表2厂内监控点浓度限值。</w:t>
            </w:r>
            <w:r>
              <w:rPr>
                <w:rFonts w:hint="default" w:ascii="Times New Roman" w:hAnsi="Times New Roman" w:cs="Times New Roman"/>
                <w:color w:val="auto"/>
                <w:highlight w:val="none"/>
                <w:lang w:val="en-US" w:eastAsia="zh-CN"/>
              </w:rPr>
              <w:t>现有工程废气污染物总排放量见下表。</w:t>
            </w:r>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现有工程废气</w:t>
            </w:r>
            <w:r>
              <w:rPr>
                <w:rFonts w:hint="default" w:ascii="Times New Roman" w:hAnsi="Times New Roman" w:eastAsia="宋体" w:cs="Times New Roman"/>
                <w:color w:val="auto"/>
                <w:highlight w:val="none"/>
                <w:lang w:val="en-US" w:eastAsia="zh-CN"/>
              </w:rPr>
              <w:t>排放</w:t>
            </w:r>
            <w:r>
              <w:rPr>
                <w:rFonts w:hint="default" w:ascii="Times New Roman" w:hAnsi="Times New Roman" w:cs="Times New Roman"/>
                <w:color w:val="auto"/>
                <w:highlight w:val="none"/>
                <w:lang w:val="en-US" w:eastAsia="zh-CN"/>
              </w:rPr>
              <w:t>情况一览表</w:t>
            </w:r>
          </w:p>
          <w:tbl>
            <w:tblPr>
              <w:tblStyle w:val="12"/>
              <w:tblW w:w="9012" w:type="dxa"/>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04"/>
              <w:gridCol w:w="3004"/>
              <w:gridCol w:w="300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04" w:type="dxa"/>
                  <w:tcBorders>
                    <w:tl2br w:val="nil"/>
                    <w:tr2bl w:val="nil"/>
                  </w:tcBorders>
                  <w:vAlign w:val="center"/>
                </w:tcPr>
                <w:p>
                  <w:pPr>
                    <w:pStyle w:val="16"/>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序号</w:t>
                  </w:r>
                </w:p>
              </w:tc>
              <w:tc>
                <w:tcPr>
                  <w:tcW w:w="3004" w:type="dxa"/>
                  <w:tcBorders>
                    <w:tl2br w:val="nil"/>
                    <w:tr2bl w:val="nil"/>
                  </w:tcBorders>
                  <w:vAlign w:val="center"/>
                </w:tcPr>
                <w:p>
                  <w:pPr>
                    <w:pStyle w:val="16"/>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污染物</w:t>
                  </w:r>
                </w:p>
              </w:tc>
              <w:tc>
                <w:tcPr>
                  <w:tcW w:w="3004" w:type="dxa"/>
                  <w:tcBorders>
                    <w:tl2br w:val="nil"/>
                    <w:tr2bl w:val="nil"/>
                  </w:tcBorders>
                  <w:vAlign w:val="center"/>
                </w:tcPr>
                <w:p>
                  <w:pPr>
                    <w:pStyle w:val="16"/>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现有工程总排放量t/a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04" w:type="dxa"/>
                  <w:tcBorders>
                    <w:tl2br w:val="nil"/>
                    <w:tr2bl w:val="nil"/>
                  </w:tcBorders>
                  <w:vAlign w:val="center"/>
                </w:tcPr>
                <w:p>
                  <w:pPr>
                    <w:pStyle w:val="16"/>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1</w:t>
                  </w:r>
                </w:p>
              </w:tc>
              <w:tc>
                <w:tcPr>
                  <w:tcW w:w="3004" w:type="dxa"/>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vertAlign w:val="baseline"/>
                    </w:rPr>
                  </w:pPr>
                  <w:r>
                    <w:rPr>
                      <w:rFonts w:hint="default" w:ascii="Times New Roman" w:hAnsi="Times New Roman" w:cs="Times New Roman"/>
                      <w:color w:val="auto"/>
                      <w:highlight w:val="none"/>
                      <w:lang w:val="en-US" w:eastAsia="zh-CN"/>
                    </w:rPr>
                    <w:t>苯</w:t>
                  </w:r>
                </w:p>
              </w:tc>
              <w:tc>
                <w:tcPr>
                  <w:tcW w:w="3004" w:type="dxa"/>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0.0051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04" w:type="dxa"/>
                  <w:tcBorders>
                    <w:tl2br w:val="nil"/>
                    <w:tr2bl w:val="nil"/>
                  </w:tcBorders>
                  <w:vAlign w:val="center"/>
                </w:tcPr>
                <w:p>
                  <w:pPr>
                    <w:pStyle w:val="16"/>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2</w:t>
                  </w:r>
                </w:p>
              </w:tc>
              <w:tc>
                <w:tcPr>
                  <w:tcW w:w="3004" w:type="dxa"/>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vertAlign w:val="baseline"/>
                    </w:rPr>
                  </w:pPr>
                  <w:r>
                    <w:rPr>
                      <w:rFonts w:hint="default" w:ascii="Times New Roman" w:hAnsi="Times New Roman" w:cs="Times New Roman"/>
                      <w:color w:val="auto"/>
                      <w:highlight w:val="none"/>
                      <w:lang w:val="en-US" w:eastAsia="zh-CN"/>
                    </w:rPr>
                    <w:t>甲苯</w:t>
                  </w:r>
                </w:p>
              </w:tc>
              <w:tc>
                <w:tcPr>
                  <w:tcW w:w="3004" w:type="dxa"/>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0.0920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04" w:type="dxa"/>
                  <w:tcBorders>
                    <w:tl2br w:val="nil"/>
                    <w:tr2bl w:val="nil"/>
                  </w:tcBorders>
                  <w:vAlign w:val="center"/>
                </w:tcPr>
                <w:p>
                  <w:pPr>
                    <w:pStyle w:val="16"/>
                    <w:jc w:val="center"/>
                    <w:rPr>
                      <w:rFonts w:hint="default" w:ascii="Times New Roman" w:hAnsi="Times New Roman" w:cs="Times New Roman"/>
                      <w:color w:val="auto"/>
                      <w:highlight w:val="none"/>
                      <w:vertAlign w:val="baseline"/>
                    </w:rPr>
                  </w:pPr>
                </w:p>
              </w:tc>
              <w:tc>
                <w:tcPr>
                  <w:tcW w:w="3004" w:type="dxa"/>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vertAlign w:val="baseline"/>
                    </w:rPr>
                  </w:pPr>
                  <w:r>
                    <w:rPr>
                      <w:rFonts w:hint="default" w:ascii="Times New Roman" w:hAnsi="Times New Roman" w:cs="Times New Roman"/>
                      <w:color w:val="auto"/>
                      <w:highlight w:val="none"/>
                      <w:lang w:val="en-US" w:eastAsia="zh-CN"/>
                    </w:rPr>
                    <w:t>二甲苯</w:t>
                  </w:r>
                </w:p>
              </w:tc>
              <w:tc>
                <w:tcPr>
                  <w:tcW w:w="3004" w:type="dxa"/>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0.0791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04" w:type="dxa"/>
                  <w:tcBorders>
                    <w:tl2br w:val="nil"/>
                    <w:tr2bl w:val="nil"/>
                  </w:tcBorders>
                  <w:vAlign w:val="center"/>
                </w:tcPr>
                <w:p>
                  <w:pPr>
                    <w:pStyle w:val="16"/>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4</w:t>
                  </w:r>
                </w:p>
              </w:tc>
              <w:tc>
                <w:tcPr>
                  <w:tcW w:w="3004" w:type="dxa"/>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vertAlign w:val="baseline"/>
                    </w:rPr>
                  </w:pPr>
                  <w:r>
                    <w:rPr>
                      <w:rFonts w:hint="default" w:ascii="Times New Roman" w:hAnsi="Times New Roman" w:cs="Times New Roman"/>
                      <w:color w:val="auto"/>
                      <w:highlight w:val="none"/>
                      <w:lang w:val="en-US" w:eastAsia="zh-CN"/>
                    </w:rPr>
                    <w:t>NMHC</w:t>
                  </w:r>
                </w:p>
              </w:tc>
              <w:tc>
                <w:tcPr>
                  <w:tcW w:w="3004" w:type="dxa"/>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24.2312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04" w:type="dxa"/>
                  <w:tcBorders>
                    <w:tl2br w:val="nil"/>
                    <w:tr2bl w:val="nil"/>
                  </w:tcBorders>
                  <w:vAlign w:val="center"/>
                </w:tcPr>
                <w:p>
                  <w:pPr>
                    <w:pStyle w:val="16"/>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5</w:t>
                  </w:r>
                </w:p>
              </w:tc>
              <w:tc>
                <w:tcPr>
                  <w:tcW w:w="3004" w:type="dxa"/>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vertAlign w:val="baseline"/>
                    </w:rPr>
                  </w:pPr>
                  <w:r>
                    <w:rPr>
                      <w:rFonts w:hint="default" w:ascii="Times New Roman" w:hAnsi="Times New Roman" w:cs="Times New Roman"/>
                      <w:color w:val="auto"/>
                      <w:highlight w:val="none"/>
                      <w:lang w:val="en-US" w:eastAsia="zh-CN"/>
                    </w:rPr>
                    <w:t>DMF</w:t>
                  </w:r>
                </w:p>
              </w:tc>
              <w:tc>
                <w:tcPr>
                  <w:tcW w:w="3004" w:type="dxa"/>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7.6178 </w:t>
                  </w:r>
                </w:p>
              </w:tc>
            </w:tr>
          </w:tbl>
          <w:p>
            <w:pPr>
              <w:pStyle w:val="16"/>
              <w:rPr>
                <w:rFonts w:hint="default" w:ascii="Times New Roman" w:hAnsi="Times New Roman" w:cs="Times New Roman"/>
                <w:color w:val="auto"/>
                <w:highlight w:val="none"/>
              </w:rPr>
            </w:pP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废水污染物排放及环保措施</w:t>
            </w:r>
          </w:p>
          <w:p>
            <w:pPr>
              <w:spacing w:line="360" w:lineRule="auto"/>
              <w:ind w:firstLine="480" w:firstLineChars="200"/>
              <w:rPr>
                <w:rFonts w:hint="default" w:ascii="Times New Roman" w:hAnsi="Times New Roman" w:eastAsia="宋体" w:cs="Times New Roman"/>
                <w:color w:val="auto"/>
                <w:sz w:val="24"/>
                <w:szCs w:val="21"/>
                <w:highlight w:val="none"/>
                <w:lang w:val="en-US" w:eastAsia="zh-CN" w:bidi="ar"/>
              </w:rPr>
            </w:pPr>
            <w:r>
              <w:rPr>
                <w:rFonts w:hint="default" w:ascii="Times New Roman" w:hAnsi="Times New Roman" w:cs="Times New Roman"/>
                <w:color w:val="auto"/>
                <w:sz w:val="24"/>
                <w:szCs w:val="21"/>
                <w:highlight w:val="none"/>
                <w:lang w:bidi="ar"/>
              </w:rPr>
              <w:t>现有</w:t>
            </w:r>
            <w:r>
              <w:rPr>
                <w:rFonts w:hint="default" w:ascii="Times New Roman" w:hAnsi="Times New Roman" w:cs="Times New Roman"/>
                <w:color w:val="auto"/>
                <w:sz w:val="24"/>
                <w:szCs w:val="21"/>
                <w:highlight w:val="none"/>
                <w:lang w:val="en-US" w:eastAsia="zh-CN" w:bidi="ar"/>
              </w:rPr>
              <w:t>工程</w:t>
            </w:r>
            <w:r>
              <w:rPr>
                <w:rFonts w:hint="default" w:ascii="Times New Roman" w:hAnsi="Times New Roman" w:cs="Times New Roman"/>
                <w:color w:val="auto"/>
                <w:sz w:val="24"/>
                <w:szCs w:val="21"/>
                <w:highlight w:val="none"/>
                <w:lang w:bidi="ar"/>
              </w:rPr>
              <w:t>排水系统实施雨污分流，雨水直接排入园区雨水管网。</w:t>
            </w:r>
            <w:r>
              <w:rPr>
                <w:rFonts w:hint="default" w:ascii="Times New Roman" w:hAnsi="Times New Roman" w:cs="Times New Roman"/>
                <w:color w:val="auto"/>
                <w:sz w:val="24"/>
                <w:szCs w:val="21"/>
                <w:highlight w:val="none"/>
                <w:lang w:val="en-US" w:eastAsia="zh-CN" w:bidi="ar"/>
              </w:rPr>
              <w:t>其中生产废水收集后外运委托处置，不排放；生活污水经处理后排放至福鼎市文渡污水处理厂处理。</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①生产废水</w:t>
            </w:r>
          </w:p>
          <w:p>
            <w:pPr>
              <w:pStyle w:val="5"/>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现有工程生产废水主要为喷淋塔废水、洗桶废水、沾染物浸泡废水和DMF储罐喷淋水等，废水产生量为27.504t/d、8251.2 t/a，经收集后由管道泵送至DMF废水储罐内暂存，定期委托福建大成皮业有限公司处置，不排放。DMF废水按照</w:t>
            </w:r>
            <w:r>
              <w:rPr>
                <w:rFonts w:hint="default" w:ascii="Times New Roman" w:hAnsi="Times New Roman" w:cs="Times New Roman"/>
                <w:color w:val="auto"/>
                <w:highlight w:val="none"/>
              </w:rPr>
              <w:t>《危险废物贮存污染控制标准》（GB18597-2001）及其修改单和《危险废物转移联单管理办法》</w:t>
            </w:r>
            <w:r>
              <w:rPr>
                <w:rFonts w:hint="default" w:ascii="Times New Roman" w:hAnsi="Times New Roman" w:cs="Times New Roman"/>
                <w:color w:val="auto"/>
                <w:highlight w:val="none"/>
                <w:lang w:val="en-US" w:eastAsia="zh-CN"/>
              </w:rPr>
              <w:t>进行收集暂存，填写危险废物转移联单</w:t>
            </w:r>
            <w:r>
              <w:rPr>
                <w:rFonts w:hint="default" w:ascii="Times New Roman" w:hAnsi="Times New Roman" w:cs="Times New Roman"/>
                <w:color w:val="auto"/>
                <w:highlight w:val="none"/>
                <w:lang w:eastAsia="zh-CN"/>
              </w:rPr>
              <w:t>。</w:t>
            </w:r>
          </w:p>
          <w:p>
            <w:pPr>
              <w:pStyle w:val="15"/>
              <w:bidi w:val="0"/>
              <w:spacing w:line="240" w:lineRule="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生产废水产排特征</w:t>
            </w:r>
          </w:p>
          <w:tbl>
            <w:tblPr>
              <w:tblStyle w:val="11"/>
              <w:tblW w:w="901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550"/>
              <w:gridCol w:w="2610"/>
              <w:gridCol w:w="825"/>
              <w:gridCol w:w="585"/>
              <w:gridCol w:w="1545"/>
              <w:gridCol w:w="139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restart"/>
                  <w:tcBorders>
                    <w:tl2br w:val="nil"/>
                    <w:tr2bl w:val="nil"/>
                  </w:tcBorders>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序号</w:t>
                  </w:r>
                </w:p>
              </w:tc>
              <w:tc>
                <w:tcPr>
                  <w:tcW w:w="1550" w:type="dxa"/>
                  <w:vMerge w:val="restart"/>
                  <w:tcBorders>
                    <w:tl2br w:val="nil"/>
                    <w:tr2bl w:val="nil"/>
                  </w:tcBorders>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废水名称</w:t>
                  </w:r>
                </w:p>
              </w:tc>
              <w:tc>
                <w:tcPr>
                  <w:tcW w:w="3435" w:type="dxa"/>
                  <w:gridSpan w:val="2"/>
                  <w:tcBorders>
                    <w:tl2br w:val="nil"/>
                    <w:tr2bl w:val="nil"/>
                  </w:tcBorders>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产生量</w:t>
                  </w:r>
                </w:p>
              </w:tc>
              <w:tc>
                <w:tcPr>
                  <w:tcW w:w="585" w:type="dxa"/>
                  <w:vMerge w:val="restart"/>
                  <w:tcBorders>
                    <w:tl2br w:val="nil"/>
                    <w:tr2bl w:val="nil"/>
                  </w:tcBorders>
                  <w:tcMar>
                    <w:top w:w="0" w:type="dxa"/>
                    <w:left w:w="28" w:type="dxa"/>
                    <w:bottom w:w="0" w:type="dxa"/>
                    <w:right w:w="28" w:type="dxa"/>
                  </w:tcMar>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排放规律</w:t>
                  </w:r>
                </w:p>
              </w:tc>
              <w:tc>
                <w:tcPr>
                  <w:tcW w:w="1545" w:type="dxa"/>
                  <w:vMerge w:val="restart"/>
                  <w:tcBorders>
                    <w:tl2br w:val="nil"/>
                    <w:tr2bl w:val="nil"/>
                  </w:tcBorders>
                  <w:tcMar>
                    <w:top w:w="0" w:type="dxa"/>
                    <w:left w:w="28" w:type="dxa"/>
                    <w:bottom w:w="0" w:type="dxa"/>
                    <w:right w:w="28" w:type="dxa"/>
                  </w:tcMar>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组成特征</w:t>
                  </w:r>
                </w:p>
              </w:tc>
              <w:tc>
                <w:tcPr>
                  <w:tcW w:w="1399" w:type="dxa"/>
                  <w:vMerge w:val="restart"/>
                  <w:tcBorders>
                    <w:tl2br w:val="nil"/>
                    <w:tr2bl w:val="nil"/>
                  </w:tcBorders>
                  <w:tcMar>
                    <w:top w:w="0" w:type="dxa"/>
                    <w:left w:w="28" w:type="dxa"/>
                    <w:bottom w:w="0" w:type="dxa"/>
                    <w:right w:w="28" w:type="dxa"/>
                  </w:tcMar>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处理措施及排放去向</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tcBorders>
                    <w:tl2br w:val="nil"/>
                    <w:tr2bl w:val="nil"/>
                  </w:tcBorders>
                  <w:vAlign w:val="center"/>
                </w:tcPr>
                <w:p>
                  <w:pPr>
                    <w:widowControl/>
                    <w:jc w:val="left"/>
                    <w:rPr>
                      <w:rFonts w:hint="default" w:ascii="Times New Roman" w:hAnsi="Times New Roman" w:cs="Times New Roman"/>
                      <w:color w:val="auto"/>
                      <w:kern w:val="2"/>
                      <w:sz w:val="21"/>
                      <w:szCs w:val="21"/>
                      <w:highlight w:val="none"/>
                    </w:rPr>
                  </w:pPr>
                </w:p>
              </w:tc>
              <w:tc>
                <w:tcPr>
                  <w:tcW w:w="1550" w:type="dxa"/>
                  <w:vMerge w:val="continue"/>
                  <w:tcBorders>
                    <w:tl2br w:val="nil"/>
                    <w:tr2bl w:val="nil"/>
                  </w:tcBorders>
                  <w:vAlign w:val="center"/>
                </w:tcPr>
                <w:p>
                  <w:pPr>
                    <w:widowControl/>
                    <w:jc w:val="left"/>
                    <w:rPr>
                      <w:rFonts w:hint="default" w:ascii="Times New Roman" w:hAnsi="Times New Roman" w:cs="Times New Roman"/>
                      <w:color w:val="auto"/>
                      <w:kern w:val="2"/>
                      <w:sz w:val="21"/>
                      <w:szCs w:val="21"/>
                      <w:highlight w:val="none"/>
                    </w:rPr>
                  </w:pPr>
                </w:p>
              </w:tc>
              <w:tc>
                <w:tcPr>
                  <w:tcW w:w="2610" w:type="dxa"/>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产生情况</w:t>
                  </w:r>
                </w:p>
              </w:tc>
              <w:tc>
                <w:tcPr>
                  <w:tcW w:w="825" w:type="dxa"/>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M</w:t>
                  </w:r>
                  <w:r>
                    <w:rPr>
                      <w:rFonts w:hint="default" w:ascii="Times New Roman" w:hAnsi="Times New Roman" w:cs="Times New Roman"/>
                      <w:color w:val="auto"/>
                      <w:kern w:val="2"/>
                      <w:sz w:val="21"/>
                      <w:szCs w:val="21"/>
                      <w:highlight w:val="none"/>
                      <w:vertAlign w:val="superscript"/>
                      <w:lang w:val="en-US" w:eastAsia="zh-CN"/>
                    </w:rPr>
                    <w:t>3</w:t>
                  </w:r>
                  <w:r>
                    <w:rPr>
                      <w:rFonts w:hint="default" w:ascii="Times New Roman" w:hAnsi="Times New Roman" w:cs="Times New Roman"/>
                      <w:color w:val="auto"/>
                      <w:kern w:val="2"/>
                      <w:sz w:val="21"/>
                      <w:szCs w:val="21"/>
                      <w:highlight w:val="none"/>
                    </w:rPr>
                    <w:t>/a</w:t>
                  </w:r>
                </w:p>
              </w:tc>
              <w:tc>
                <w:tcPr>
                  <w:tcW w:w="585" w:type="dxa"/>
                  <w:vMerge w:val="continue"/>
                  <w:tcBorders>
                    <w:tl2br w:val="nil"/>
                    <w:tr2bl w:val="nil"/>
                  </w:tcBorders>
                  <w:vAlign w:val="center"/>
                </w:tcPr>
                <w:p>
                  <w:pPr>
                    <w:widowControl/>
                    <w:jc w:val="left"/>
                    <w:rPr>
                      <w:rFonts w:hint="default" w:ascii="Times New Roman" w:hAnsi="Times New Roman" w:cs="Times New Roman"/>
                      <w:color w:val="auto"/>
                      <w:kern w:val="2"/>
                      <w:sz w:val="21"/>
                      <w:szCs w:val="21"/>
                      <w:highlight w:val="none"/>
                    </w:rPr>
                  </w:pPr>
                </w:p>
              </w:tc>
              <w:tc>
                <w:tcPr>
                  <w:tcW w:w="1545" w:type="dxa"/>
                  <w:vMerge w:val="continue"/>
                  <w:tcBorders>
                    <w:tl2br w:val="nil"/>
                    <w:tr2bl w:val="nil"/>
                  </w:tcBorders>
                  <w:vAlign w:val="center"/>
                </w:tcPr>
                <w:p>
                  <w:pPr>
                    <w:widowControl/>
                    <w:jc w:val="left"/>
                    <w:rPr>
                      <w:rFonts w:hint="default" w:ascii="Times New Roman" w:hAnsi="Times New Roman" w:cs="Times New Roman"/>
                      <w:color w:val="auto"/>
                      <w:kern w:val="2"/>
                      <w:sz w:val="21"/>
                      <w:szCs w:val="21"/>
                      <w:highlight w:val="none"/>
                    </w:rPr>
                  </w:pPr>
                </w:p>
              </w:tc>
              <w:tc>
                <w:tcPr>
                  <w:tcW w:w="1399" w:type="dxa"/>
                  <w:vMerge w:val="continue"/>
                  <w:tcBorders>
                    <w:tl2br w:val="nil"/>
                    <w:tr2bl w:val="nil"/>
                  </w:tcBorders>
                  <w:vAlign w:val="center"/>
                </w:tcPr>
                <w:p>
                  <w:pPr>
                    <w:widowControl/>
                    <w:jc w:val="left"/>
                    <w:rPr>
                      <w:rFonts w:hint="default" w:ascii="Times New Roman" w:hAnsi="Times New Roman" w:cs="Times New Roman"/>
                      <w:color w:val="auto"/>
                      <w:kern w:val="2"/>
                      <w:sz w:val="21"/>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tcBorders>
                    <w:tl2br w:val="nil"/>
                    <w:tr2bl w:val="nil"/>
                  </w:tcBorders>
                  <w:tcMar>
                    <w:top w:w="0" w:type="dxa"/>
                    <w:left w:w="28" w:type="dxa"/>
                    <w:bottom w:w="0" w:type="dxa"/>
                    <w:right w:w="28" w:type="dxa"/>
                  </w:tcMar>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1</w:t>
                  </w:r>
                </w:p>
              </w:tc>
              <w:tc>
                <w:tcPr>
                  <w:tcW w:w="1550" w:type="dxa"/>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3#废气喷淋塔排放水</w:t>
                  </w:r>
                </w:p>
              </w:tc>
              <w:tc>
                <w:tcPr>
                  <w:tcW w:w="2610" w:type="dxa"/>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塔内用水循环使用，至DMF含量达到</w:t>
                  </w:r>
                  <w:r>
                    <w:rPr>
                      <w:rFonts w:hint="default" w:ascii="Times New Roman" w:hAnsi="Times New Roman" w:cs="Times New Roman"/>
                      <w:color w:val="auto"/>
                      <w:kern w:val="2"/>
                      <w:sz w:val="21"/>
                      <w:szCs w:val="21"/>
                      <w:highlight w:val="none"/>
                      <w:lang w:val="en-US" w:eastAsia="zh-CN"/>
                    </w:rPr>
                    <w:t>一定浓度</w:t>
                  </w:r>
                  <w:r>
                    <w:rPr>
                      <w:rFonts w:hint="default" w:ascii="Times New Roman" w:hAnsi="Times New Roman" w:cs="Times New Roman"/>
                      <w:color w:val="auto"/>
                      <w:kern w:val="2"/>
                      <w:sz w:val="21"/>
                      <w:szCs w:val="21"/>
                      <w:highlight w:val="none"/>
                    </w:rPr>
                    <w:t>时排放</w:t>
                  </w:r>
                </w:p>
              </w:tc>
              <w:tc>
                <w:tcPr>
                  <w:tcW w:w="825" w:type="dxa"/>
                  <w:tcBorders>
                    <w:tl2br w:val="nil"/>
                    <w:tr2bl w:val="nil"/>
                  </w:tcBorders>
                  <w:tcMar>
                    <w:top w:w="0" w:type="dxa"/>
                    <w:left w:w="28" w:type="dxa"/>
                    <w:bottom w:w="0" w:type="dxa"/>
                    <w:right w:w="28" w:type="dxa"/>
                  </w:tcMar>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rPr>
                    <w:t>2700</w:t>
                  </w:r>
                </w:p>
              </w:tc>
              <w:tc>
                <w:tcPr>
                  <w:tcW w:w="585" w:type="dxa"/>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间歇</w:t>
                  </w:r>
                </w:p>
              </w:tc>
              <w:tc>
                <w:tcPr>
                  <w:tcW w:w="1545" w:type="dxa"/>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DMF</w:t>
                  </w:r>
                </w:p>
              </w:tc>
              <w:tc>
                <w:tcPr>
                  <w:tcW w:w="1399" w:type="dxa"/>
                  <w:vMerge w:val="restart"/>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收集暂存于废水储罐内，定期委托</w:t>
                  </w:r>
                  <w:r>
                    <w:rPr>
                      <w:rFonts w:hint="default" w:ascii="Times New Roman" w:hAnsi="Times New Roman" w:cs="Times New Roman"/>
                      <w:color w:val="auto"/>
                      <w:kern w:val="2"/>
                      <w:sz w:val="21"/>
                      <w:szCs w:val="21"/>
                      <w:highlight w:val="none"/>
                      <w:lang w:val="en-US" w:eastAsia="zh-CN"/>
                    </w:rPr>
                    <w:t>福建大成皮业有限公司</w:t>
                  </w:r>
                  <w:r>
                    <w:rPr>
                      <w:rFonts w:hint="default" w:ascii="Times New Roman" w:hAnsi="Times New Roman" w:cs="Times New Roman"/>
                      <w:color w:val="auto"/>
                      <w:kern w:val="2"/>
                      <w:sz w:val="21"/>
                      <w:szCs w:val="21"/>
                      <w:highlight w:val="none"/>
                    </w:rPr>
                    <w:t>，不外排</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tcBorders>
                    <w:tl2br w:val="nil"/>
                    <w:tr2bl w:val="nil"/>
                  </w:tcBorders>
                  <w:tcMar>
                    <w:top w:w="0" w:type="dxa"/>
                    <w:left w:w="28" w:type="dxa"/>
                    <w:bottom w:w="0" w:type="dxa"/>
                    <w:right w:w="28" w:type="dxa"/>
                  </w:tcMar>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2</w:t>
                  </w:r>
                </w:p>
              </w:tc>
              <w:tc>
                <w:tcPr>
                  <w:tcW w:w="1550" w:type="dxa"/>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1#和2#废气喷淋塔排放水</w:t>
                  </w:r>
                </w:p>
              </w:tc>
              <w:tc>
                <w:tcPr>
                  <w:tcW w:w="2610" w:type="dxa"/>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塔内用水循环使用，至DMF含量达到</w:t>
                  </w:r>
                  <w:r>
                    <w:rPr>
                      <w:rFonts w:hint="default" w:ascii="Times New Roman" w:hAnsi="Times New Roman" w:cs="Times New Roman"/>
                      <w:color w:val="auto"/>
                      <w:kern w:val="2"/>
                      <w:sz w:val="21"/>
                      <w:szCs w:val="21"/>
                      <w:highlight w:val="none"/>
                      <w:lang w:val="en-US" w:eastAsia="zh-CN"/>
                    </w:rPr>
                    <w:t>一定浓度</w:t>
                  </w:r>
                  <w:r>
                    <w:rPr>
                      <w:rFonts w:hint="default" w:ascii="Times New Roman" w:hAnsi="Times New Roman" w:cs="Times New Roman"/>
                      <w:color w:val="auto"/>
                      <w:kern w:val="2"/>
                      <w:sz w:val="21"/>
                      <w:szCs w:val="21"/>
                      <w:highlight w:val="none"/>
                    </w:rPr>
                    <w:t>时排放</w:t>
                  </w:r>
                </w:p>
              </w:tc>
              <w:tc>
                <w:tcPr>
                  <w:tcW w:w="825" w:type="dxa"/>
                  <w:tcBorders>
                    <w:tl2br w:val="nil"/>
                    <w:tr2bl w:val="nil"/>
                  </w:tcBorders>
                  <w:tcMar>
                    <w:top w:w="0" w:type="dxa"/>
                    <w:left w:w="28" w:type="dxa"/>
                    <w:bottom w:w="0" w:type="dxa"/>
                    <w:right w:w="28" w:type="dxa"/>
                  </w:tcMar>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rPr>
                    <w:t>5400</w:t>
                  </w:r>
                </w:p>
              </w:tc>
              <w:tc>
                <w:tcPr>
                  <w:tcW w:w="585" w:type="dxa"/>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间歇</w:t>
                  </w:r>
                </w:p>
              </w:tc>
              <w:tc>
                <w:tcPr>
                  <w:tcW w:w="1545" w:type="dxa"/>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DMF</w:t>
                  </w:r>
                </w:p>
              </w:tc>
              <w:tc>
                <w:tcPr>
                  <w:tcW w:w="1399" w:type="dxa"/>
                  <w:vMerge w:val="continue"/>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tcBorders>
                    <w:tl2br w:val="nil"/>
                    <w:tr2bl w:val="nil"/>
                  </w:tcBorders>
                  <w:tcMar>
                    <w:top w:w="0" w:type="dxa"/>
                    <w:left w:w="28" w:type="dxa"/>
                    <w:bottom w:w="0" w:type="dxa"/>
                    <w:right w:w="28" w:type="dxa"/>
                  </w:tcMar>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3</w:t>
                  </w:r>
                </w:p>
              </w:tc>
              <w:tc>
                <w:tcPr>
                  <w:tcW w:w="1550" w:type="dxa"/>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沾染物浸泡废水</w:t>
                  </w:r>
                </w:p>
              </w:tc>
              <w:tc>
                <w:tcPr>
                  <w:tcW w:w="2610" w:type="dxa"/>
                  <w:tcBorders>
                    <w:tl2br w:val="nil"/>
                    <w:tr2bl w:val="nil"/>
                  </w:tcBorders>
                  <w:tcMar>
                    <w:top w:w="0" w:type="dxa"/>
                    <w:left w:w="28" w:type="dxa"/>
                    <w:bottom w:w="0" w:type="dxa"/>
                    <w:right w:w="28" w:type="dxa"/>
                  </w:tcMar>
                  <w:vAlign w:val="center"/>
                </w:tcPr>
                <w:p>
                  <w:pPr>
                    <w:widowControl/>
                    <w:autoSpaceDE w:val="0"/>
                    <w:autoSpaceDN w:val="0"/>
                    <w:jc w:val="center"/>
                    <w:textAlignment w:val="bottom"/>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定期更换，每个月用水量约4t，损耗量约10%</w:t>
                  </w:r>
                </w:p>
              </w:tc>
              <w:tc>
                <w:tcPr>
                  <w:tcW w:w="825" w:type="dxa"/>
                  <w:tcBorders>
                    <w:tl2br w:val="nil"/>
                    <w:tr2bl w:val="nil"/>
                  </w:tcBorders>
                  <w:tcMar>
                    <w:top w:w="0" w:type="dxa"/>
                    <w:left w:w="28" w:type="dxa"/>
                    <w:bottom w:w="0" w:type="dxa"/>
                    <w:right w:w="28" w:type="dxa"/>
                  </w:tcMar>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rPr>
                    <w:t>43.2</w:t>
                  </w:r>
                </w:p>
              </w:tc>
              <w:tc>
                <w:tcPr>
                  <w:tcW w:w="585" w:type="dxa"/>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间歇</w:t>
                  </w:r>
                </w:p>
              </w:tc>
              <w:tc>
                <w:tcPr>
                  <w:tcW w:w="1545" w:type="dxa"/>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DMF</w:t>
                  </w:r>
                </w:p>
              </w:tc>
              <w:tc>
                <w:tcPr>
                  <w:tcW w:w="1399" w:type="dxa"/>
                  <w:vMerge w:val="continue"/>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tcBorders>
                    <w:tl2br w:val="nil"/>
                    <w:tr2bl w:val="nil"/>
                  </w:tcBorders>
                  <w:tcMar>
                    <w:top w:w="0" w:type="dxa"/>
                    <w:left w:w="28" w:type="dxa"/>
                    <w:bottom w:w="0" w:type="dxa"/>
                    <w:right w:w="28" w:type="dxa"/>
                  </w:tcMar>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4</w:t>
                  </w:r>
                </w:p>
              </w:tc>
              <w:tc>
                <w:tcPr>
                  <w:tcW w:w="1550" w:type="dxa"/>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洗桶废水</w:t>
                  </w:r>
                </w:p>
              </w:tc>
              <w:tc>
                <w:tcPr>
                  <w:tcW w:w="2610" w:type="dxa"/>
                  <w:tcBorders>
                    <w:tl2br w:val="nil"/>
                    <w:tr2bl w:val="nil"/>
                  </w:tcBorders>
                  <w:tcMar>
                    <w:top w:w="0" w:type="dxa"/>
                    <w:left w:w="28" w:type="dxa"/>
                    <w:bottom w:w="0" w:type="dxa"/>
                    <w:right w:w="28" w:type="dxa"/>
                  </w:tcMar>
                  <w:vAlign w:val="center"/>
                </w:tcPr>
                <w:p>
                  <w:pPr>
                    <w:widowControl/>
                    <w:autoSpaceDE w:val="0"/>
                    <w:autoSpaceDN w:val="0"/>
                    <w:jc w:val="center"/>
                    <w:textAlignment w:val="bottom"/>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每个月排放量4.5t</w:t>
                  </w:r>
                </w:p>
              </w:tc>
              <w:tc>
                <w:tcPr>
                  <w:tcW w:w="825" w:type="dxa"/>
                  <w:tcBorders>
                    <w:tl2br w:val="nil"/>
                    <w:tr2bl w:val="nil"/>
                  </w:tcBorders>
                  <w:tcMar>
                    <w:top w:w="0" w:type="dxa"/>
                    <w:left w:w="28" w:type="dxa"/>
                    <w:bottom w:w="0" w:type="dxa"/>
                    <w:right w:w="28" w:type="dxa"/>
                  </w:tcMar>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rPr>
                    <w:t>54</w:t>
                  </w:r>
                </w:p>
              </w:tc>
              <w:tc>
                <w:tcPr>
                  <w:tcW w:w="585" w:type="dxa"/>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间歇</w:t>
                  </w:r>
                </w:p>
              </w:tc>
              <w:tc>
                <w:tcPr>
                  <w:tcW w:w="1545" w:type="dxa"/>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DMF、悬浮物、化学需氧量</w:t>
                  </w:r>
                </w:p>
              </w:tc>
              <w:tc>
                <w:tcPr>
                  <w:tcW w:w="1399" w:type="dxa"/>
                  <w:vMerge w:val="continue"/>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tcBorders>
                    <w:tl2br w:val="nil"/>
                    <w:tr2bl w:val="nil"/>
                  </w:tcBorders>
                  <w:tcMar>
                    <w:top w:w="0" w:type="dxa"/>
                    <w:left w:w="28" w:type="dxa"/>
                    <w:bottom w:w="0" w:type="dxa"/>
                    <w:right w:w="28" w:type="dxa"/>
                  </w:tcMar>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5</w:t>
                  </w:r>
                </w:p>
              </w:tc>
              <w:tc>
                <w:tcPr>
                  <w:tcW w:w="1550" w:type="dxa"/>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储罐区喷淋废水</w:t>
                  </w:r>
                </w:p>
              </w:tc>
              <w:tc>
                <w:tcPr>
                  <w:tcW w:w="2610" w:type="dxa"/>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一年用水约60t，损耗量约10%</w:t>
                  </w:r>
                </w:p>
              </w:tc>
              <w:tc>
                <w:tcPr>
                  <w:tcW w:w="825" w:type="dxa"/>
                  <w:tcBorders>
                    <w:tl2br w:val="nil"/>
                    <w:tr2bl w:val="nil"/>
                  </w:tcBorders>
                  <w:tcMar>
                    <w:top w:w="0" w:type="dxa"/>
                    <w:left w:w="28" w:type="dxa"/>
                    <w:bottom w:w="0" w:type="dxa"/>
                    <w:right w:w="28" w:type="dxa"/>
                  </w:tcMar>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rPr>
                    <w:t>54</w:t>
                  </w:r>
                </w:p>
              </w:tc>
              <w:tc>
                <w:tcPr>
                  <w:tcW w:w="585" w:type="dxa"/>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间歇</w:t>
                  </w:r>
                </w:p>
              </w:tc>
              <w:tc>
                <w:tcPr>
                  <w:tcW w:w="1545" w:type="dxa"/>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DMF、悬浮物</w:t>
                  </w:r>
                </w:p>
              </w:tc>
              <w:tc>
                <w:tcPr>
                  <w:tcW w:w="1399" w:type="dxa"/>
                  <w:vMerge w:val="continue"/>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tcBorders>
                    <w:tl2br w:val="nil"/>
                    <w:tr2bl w:val="nil"/>
                  </w:tcBorders>
                  <w:tcMar>
                    <w:top w:w="0" w:type="dxa"/>
                    <w:left w:w="28" w:type="dxa"/>
                    <w:bottom w:w="0" w:type="dxa"/>
                    <w:right w:w="28" w:type="dxa"/>
                  </w:tcMar>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val="en-US" w:eastAsia="zh-CN"/>
                    </w:rPr>
                    <w:t>6</w:t>
                  </w:r>
                </w:p>
              </w:tc>
              <w:tc>
                <w:tcPr>
                  <w:tcW w:w="1550" w:type="dxa"/>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收集外协处置量</w:t>
                  </w:r>
                </w:p>
              </w:tc>
              <w:tc>
                <w:tcPr>
                  <w:tcW w:w="2610" w:type="dxa"/>
                  <w:tcBorders>
                    <w:tl2br w:val="nil"/>
                    <w:tr2bl w:val="nil"/>
                  </w:tcBorders>
                  <w:tcMar>
                    <w:top w:w="0" w:type="dxa"/>
                    <w:left w:w="28" w:type="dxa"/>
                    <w:bottom w:w="0" w:type="dxa"/>
                    <w:right w:w="28" w:type="dxa"/>
                  </w:tcMar>
                  <w:vAlign w:val="center"/>
                </w:tcPr>
                <w:p>
                  <w:pPr>
                    <w:spacing w:before="100" w:beforeAutospacing="1" w:after="100" w:afterAutospacing="1"/>
                    <w:jc w:val="center"/>
                    <w:rPr>
                      <w:rFonts w:hint="default" w:ascii="Times New Roman" w:hAnsi="Times New Roman" w:cs="Times New Roman"/>
                      <w:color w:val="auto"/>
                      <w:kern w:val="2"/>
                      <w:sz w:val="21"/>
                      <w:szCs w:val="21"/>
                      <w:highlight w:val="none"/>
                    </w:rPr>
                  </w:pPr>
                </w:p>
              </w:tc>
              <w:tc>
                <w:tcPr>
                  <w:tcW w:w="825" w:type="dxa"/>
                  <w:tcBorders>
                    <w:tl2br w:val="nil"/>
                    <w:tr2bl w:val="nil"/>
                  </w:tcBorders>
                  <w:tcMar>
                    <w:top w:w="0" w:type="dxa"/>
                    <w:left w:w="28" w:type="dxa"/>
                    <w:bottom w:w="0" w:type="dxa"/>
                    <w:right w:w="28" w:type="dxa"/>
                  </w:tcMar>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8251.2</w:t>
                  </w:r>
                </w:p>
              </w:tc>
              <w:tc>
                <w:tcPr>
                  <w:tcW w:w="585" w:type="dxa"/>
                  <w:tcBorders>
                    <w:tl2br w:val="nil"/>
                    <w:tr2bl w:val="nil"/>
                  </w:tcBorders>
                  <w:tcMar>
                    <w:top w:w="0" w:type="dxa"/>
                    <w:left w:w="28" w:type="dxa"/>
                    <w:bottom w:w="0" w:type="dxa"/>
                    <w:right w:w="28" w:type="dxa"/>
                  </w:tcMar>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1545" w:type="dxa"/>
                  <w:tcBorders>
                    <w:tl2br w:val="nil"/>
                    <w:tr2bl w:val="nil"/>
                  </w:tcBorders>
                  <w:tcMar>
                    <w:top w:w="0" w:type="dxa"/>
                    <w:left w:w="28" w:type="dxa"/>
                    <w:bottom w:w="0" w:type="dxa"/>
                    <w:right w:w="28" w:type="dxa"/>
                  </w:tcMar>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1399" w:type="dxa"/>
                  <w:tcBorders>
                    <w:tl2br w:val="nil"/>
                    <w:tr2bl w:val="nil"/>
                  </w:tcBorders>
                  <w:tcMar>
                    <w:top w:w="0" w:type="dxa"/>
                    <w:left w:w="28" w:type="dxa"/>
                    <w:bottom w:w="0" w:type="dxa"/>
                    <w:right w:w="28" w:type="dxa"/>
                  </w:tcMar>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r>
          </w:tbl>
          <w:p>
            <w:pPr>
              <w:pStyle w:val="5"/>
              <w:spacing w:line="240" w:lineRule="auto"/>
              <w:jc w:val="center"/>
              <w:rPr>
                <w:rFonts w:hint="default" w:ascii="Times New Roman" w:hAnsi="Times New Roman" w:cs="Times New Roman"/>
                <w:color w:val="auto"/>
                <w:highlight w:val="none"/>
                <w:lang w:val="en-US" w:eastAsia="zh-CN"/>
              </w:rPr>
            </w:pP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②生活污水</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根据《福建瑞峰革业有限公司 年产400万米PU革深加工项目环境影响后评价》，现有工程</w:t>
            </w:r>
            <w:r>
              <w:rPr>
                <w:rFonts w:hint="default" w:ascii="Times New Roman" w:hAnsi="Times New Roman" w:cs="Times New Roman"/>
                <w:color w:val="auto"/>
                <w:highlight w:val="none"/>
              </w:rPr>
              <w:t>生活污水排放量为</w:t>
            </w:r>
            <w:r>
              <w:rPr>
                <w:rFonts w:hint="default" w:ascii="Times New Roman" w:hAnsi="Times New Roman" w:cs="Times New Roman"/>
                <w:color w:val="auto"/>
                <w:highlight w:val="none"/>
                <w:lang w:val="en-US" w:eastAsia="zh-CN"/>
              </w:rPr>
              <w:t>3888</w:t>
            </w:r>
            <w:r>
              <w:rPr>
                <w:rFonts w:hint="default" w:ascii="Times New Roman" w:hAnsi="Times New Roman" w:cs="Times New Roman"/>
                <w:color w:val="auto"/>
                <w:highlight w:val="none"/>
              </w:rPr>
              <w:t>t/a，生活污水产排情况见下表。</w:t>
            </w:r>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生活污水</w:t>
            </w:r>
            <w:r>
              <w:rPr>
                <w:rFonts w:hint="default" w:ascii="Times New Roman" w:hAnsi="Times New Roman" w:eastAsia="宋体" w:cs="Times New Roman"/>
                <w:color w:val="auto"/>
                <w:highlight w:val="none"/>
                <w:lang w:val="en-US" w:eastAsia="zh-CN"/>
              </w:rPr>
              <w:t>污染物</w:t>
            </w:r>
            <w:r>
              <w:rPr>
                <w:rFonts w:hint="default" w:ascii="Times New Roman" w:hAnsi="Times New Roman" w:cs="Times New Roman"/>
                <w:color w:val="auto"/>
                <w:highlight w:val="none"/>
              </w:rPr>
              <w:t>排放情况一览表</w:t>
            </w:r>
          </w:p>
          <w:tbl>
            <w:tblPr>
              <w:tblStyle w:val="11"/>
              <w:tblW w:w="9010"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2"/>
              <w:gridCol w:w="1898"/>
              <w:gridCol w:w="1865"/>
              <w:gridCol w:w="2610"/>
              <w:gridCol w:w="165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restart"/>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污染源</w:t>
                  </w:r>
                </w:p>
              </w:tc>
              <w:tc>
                <w:tcPr>
                  <w:tcW w:w="1898" w:type="dxa"/>
                  <w:vMerge w:val="restart"/>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污染物</w:t>
                  </w:r>
                </w:p>
              </w:tc>
              <w:tc>
                <w:tcPr>
                  <w:tcW w:w="6130" w:type="dxa"/>
                  <w:gridSpan w:val="3"/>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污染物排放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tcBorders>
                    <w:tl2br w:val="nil"/>
                    <w:tr2bl w:val="nil"/>
                  </w:tcBorders>
                  <w:shd w:val="clear" w:color="auto" w:fill="auto"/>
                  <w:vAlign w:val="center"/>
                </w:tcPr>
                <w:p>
                  <w:pPr>
                    <w:rPr>
                      <w:rFonts w:hint="default" w:ascii="Times New Roman" w:hAnsi="Times New Roman" w:cs="Times New Roman"/>
                      <w:color w:val="auto"/>
                      <w:szCs w:val="21"/>
                      <w:highlight w:val="none"/>
                    </w:rPr>
                  </w:pPr>
                </w:p>
              </w:tc>
              <w:tc>
                <w:tcPr>
                  <w:tcW w:w="1898" w:type="dxa"/>
                  <w:vMerge w:val="continue"/>
                  <w:tcBorders>
                    <w:tl2br w:val="nil"/>
                    <w:tr2bl w:val="nil"/>
                  </w:tcBorders>
                  <w:shd w:val="clear" w:color="auto" w:fill="auto"/>
                  <w:vAlign w:val="center"/>
                </w:tcPr>
                <w:p>
                  <w:pPr>
                    <w:rPr>
                      <w:rFonts w:hint="default" w:ascii="Times New Roman" w:hAnsi="Times New Roman" w:cs="Times New Roman"/>
                      <w:color w:val="auto"/>
                      <w:szCs w:val="21"/>
                      <w:highlight w:val="none"/>
                    </w:rPr>
                  </w:pPr>
                </w:p>
              </w:tc>
              <w:tc>
                <w:tcPr>
                  <w:tcW w:w="1865"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排放废水量（t/a）</w:t>
                  </w:r>
                </w:p>
              </w:tc>
              <w:tc>
                <w:tcPr>
                  <w:tcW w:w="2610"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排放浓度（mg/L）</w:t>
                  </w:r>
                </w:p>
              </w:tc>
              <w:tc>
                <w:tcPr>
                  <w:tcW w:w="1655"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排放量（t/a）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restart"/>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生活</w:t>
                  </w:r>
                </w:p>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污水</w:t>
                  </w:r>
                </w:p>
              </w:tc>
              <w:tc>
                <w:tcPr>
                  <w:tcW w:w="1898"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化学需氧量</w:t>
                  </w:r>
                </w:p>
              </w:tc>
              <w:tc>
                <w:tcPr>
                  <w:tcW w:w="1865" w:type="dxa"/>
                  <w:vMerge w:val="restart"/>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3888</w:t>
                  </w:r>
                </w:p>
              </w:tc>
              <w:tc>
                <w:tcPr>
                  <w:tcW w:w="2610" w:type="dxa"/>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400</w:t>
                  </w:r>
                </w:p>
              </w:tc>
              <w:tc>
                <w:tcPr>
                  <w:tcW w:w="1655" w:type="dxa"/>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rPr>
                    <w:t>1.56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tcBorders>
                    <w:tl2br w:val="nil"/>
                    <w:tr2bl w:val="nil"/>
                  </w:tcBorders>
                  <w:shd w:val="clear" w:color="auto" w:fill="auto"/>
                  <w:vAlign w:val="center"/>
                </w:tcPr>
                <w:p>
                  <w:pPr>
                    <w:rPr>
                      <w:rFonts w:hint="default" w:ascii="Times New Roman" w:hAnsi="Times New Roman" w:cs="Times New Roman"/>
                      <w:color w:val="auto"/>
                      <w:szCs w:val="21"/>
                      <w:highlight w:val="none"/>
                    </w:rPr>
                  </w:pPr>
                </w:p>
              </w:tc>
              <w:tc>
                <w:tcPr>
                  <w:tcW w:w="1898"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悬浮物</w:t>
                  </w:r>
                </w:p>
              </w:tc>
              <w:tc>
                <w:tcPr>
                  <w:tcW w:w="1865" w:type="dxa"/>
                  <w:vMerge w:val="continue"/>
                  <w:tcBorders>
                    <w:tl2br w:val="nil"/>
                    <w:tr2bl w:val="nil"/>
                  </w:tcBorders>
                  <w:shd w:val="clear" w:color="auto" w:fill="auto"/>
                  <w:vAlign w:val="center"/>
                </w:tcPr>
                <w:p>
                  <w:pPr>
                    <w:rPr>
                      <w:rFonts w:hint="default" w:ascii="Times New Roman" w:hAnsi="Times New Roman" w:cs="Times New Roman"/>
                      <w:color w:val="auto"/>
                      <w:szCs w:val="21"/>
                      <w:highlight w:val="none"/>
                    </w:rPr>
                  </w:pPr>
                </w:p>
              </w:tc>
              <w:tc>
                <w:tcPr>
                  <w:tcW w:w="2610" w:type="dxa"/>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25</w:t>
                  </w:r>
                </w:p>
              </w:tc>
              <w:tc>
                <w:tcPr>
                  <w:tcW w:w="1655" w:type="dxa"/>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rPr>
                    <w:t>0.97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tcBorders>
                    <w:tl2br w:val="nil"/>
                    <w:tr2bl w:val="nil"/>
                  </w:tcBorders>
                  <w:shd w:val="clear" w:color="auto" w:fill="auto"/>
                  <w:vAlign w:val="center"/>
                </w:tcPr>
                <w:p>
                  <w:pPr>
                    <w:rPr>
                      <w:rFonts w:hint="default" w:ascii="Times New Roman" w:hAnsi="Times New Roman" w:cs="Times New Roman"/>
                      <w:color w:val="auto"/>
                      <w:szCs w:val="21"/>
                      <w:highlight w:val="none"/>
                    </w:rPr>
                  </w:pPr>
                </w:p>
              </w:tc>
              <w:tc>
                <w:tcPr>
                  <w:tcW w:w="1898"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氨氮</w:t>
                  </w:r>
                </w:p>
              </w:tc>
              <w:tc>
                <w:tcPr>
                  <w:tcW w:w="1865" w:type="dxa"/>
                  <w:vMerge w:val="continue"/>
                  <w:tcBorders>
                    <w:tl2br w:val="nil"/>
                    <w:tr2bl w:val="nil"/>
                  </w:tcBorders>
                  <w:shd w:val="clear" w:color="auto" w:fill="auto"/>
                  <w:vAlign w:val="center"/>
                </w:tcPr>
                <w:p>
                  <w:pPr>
                    <w:rPr>
                      <w:rFonts w:hint="default" w:ascii="Times New Roman" w:hAnsi="Times New Roman" w:cs="Times New Roman"/>
                      <w:color w:val="auto"/>
                      <w:szCs w:val="21"/>
                      <w:highlight w:val="none"/>
                    </w:rPr>
                  </w:pPr>
                </w:p>
              </w:tc>
              <w:tc>
                <w:tcPr>
                  <w:tcW w:w="2610" w:type="dxa"/>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de-DE"/>
                    </w:rPr>
                    <w:t>35</w:t>
                  </w:r>
                </w:p>
              </w:tc>
              <w:tc>
                <w:tcPr>
                  <w:tcW w:w="1655" w:type="dxa"/>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rPr>
                    <w:t>0.136</w:t>
                  </w:r>
                </w:p>
              </w:tc>
            </w:tr>
          </w:tbl>
          <w:p>
            <w:pPr>
              <w:pStyle w:val="5"/>
              <w:bidi w:val="0"/>
              <w:spacing w:line="240" w:lineRule="auto"/>
              <w:rPr>
                <w:rFonts w:hint="default" w:ascii="Times New Roman" w:hAnsi="Times New Roman" w:cs="Times New Roman"/>
                <w:color w:val="auto"/>
                <w:highlight w:val="none"/>
              </w:rPr>
            </w:pP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噪声污染物排放及环保措施</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现有工程噪声主要来自</w:t>
            </w:r>
            <w:r>
              <w:rPr>
                <w:rFonts w:hint="default" w:ascii="Times New Roman" w:hAnsi="Times New Roman" w:cs="Times New Roman"/>
                <w:color w:val="auto"/>
                <w:highlight w:val="none"/>
                <w:lang w:val="en-US" w:eastAsia="zh-CN"/>
              </w:rPr>
              <w:t>烘箱、风机、水泵</w:t>
            </w:r>
            <w:r>
              <w:rPr>
                <w:rFonts w:hint="default" w:ascii="Times New Roman" w:hAnsi="Times New Roman" w:cs="Times New Roman"/>
                <w:color w:val="auto"/>
                <w:highlight w:val="none"/>
              </w:rPr>
              <w:t>等设备运行时产生的噪声，企业通过选用低噪声设备；在设备、风机底座安装减振片，降低设备震动带来的噪声；同时加强设备日常维护管理等措施降低生产噪声对环境的影响。</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eastAsia="宋体" w:cs="Times New Roman"/>
                <w:color w:val="auto"/>
                <w:highlight w:val="none"/>
              </w:rPr>
              <w:t>本评价委托</w:t>
            </w:r>
            <w:r>
              <w:rPr>
                <w:rFonts w:hint="default" w:ascii="Times New Roman" w:hAnsi="Times New Roman" w:cs="Times New Roman"/>
                <w:color w:val="auto"/>
                <w:highlight w:val="none"/>
                <w:lang w:val="en-US" w:eastAsia="zh-CN"/>
              </w:rPr>
              <w:t>厦门科仪</w:t>
            </w:r>
            <w:r>
              <w:rPr>
                <w:rFonts w:hint="default" w:ascii="Times New Roman" w:hAnsi="Times New Roman" w:eastAsia="宋体" w:cs="Times New Roman"/>
                <w:color w:val="auto"/>
                <w:highlight w:val="none"/>
              </w:rPr>
              <w:t>检测</w:t>
            </w:r>
            <w:r>
              <w:rPr>
                <w:rFonts w:hint="default" w:ascii="Times New Roman" w:hAnsi="Times New Roman" w:cs="Times New Roman"/>
                <w:color w:val="auto"/>
                <w:highlight w:val="none"/>
                <w:lang w:val="en-US" w:eastAsia="zh-CN"/>
              </w:rPr>
              <w:t>技术</w:t>
            </w:r>
            <w:r>
              <w:rPr>
                <w:rFonts w:hint="default" w:ascii="Times New Roman" w:hAnsi="Times New Roman" w:eastAsia="宋体" w:cs="Times New Roman"/>
                <w:color w:val="auto"/>
                <w:highlight w:val="none"/>
              </w:rPr>
              <w:t>有限公司于202</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年</w:t>
            </w: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月</w:t>
            </w:r>
            <w:r>
              <w:rPr>
                <w:rFonts w:hint="default" w:ascii="Times New Roman" w:hAnsi="Times New Roman" w:eastAsia="宋体" w:cs="Times New Roman"/>
                <w:color w:val="auto"/>
                <w:highlight w:val="none"/>
                <w:lang w:val="en-US" w:eastAsia="zh-CN"/>
              </w:rPr>
              <w:t>19</w:t>
            </w:r>
            <w:r>
              <w:rPr>
                <w:rFonts w:hint="default" w:ascii="Times New Roman" w:hAnsi="Times New Roman" w:eastAsia="宋体" w:cs="Times New Roman"/>
                <w:color w:val="auto"/>
                <w:highlight w:val="none"/>
              </w:rPr>
              <w:t>日在正常工况下对厂界</w:t>
            </w:r>
            <w:r>
              <w:rPr>
                <w:rFonts w:hint="default" w:ascii="Times New Roman" w:hAnsi="Times New Roman" w:eastAsia="宋体" w:cs="Times New Roman"/>
                <w:color w:val="auto"/>
                <w:highlight w:val="none"/>
                <w:lang w:val="en-US" w:eastAsia="zh-CN"/>
              </w:rPr>
              <w:t>昼、夜间</w:t>
            </w:r>
            <w:r>
              <w:rPr>
                <w:rFonts w:hint="default" w:ascii="Times New Roman" w:hAnsi="Times New Roman" w:cs="Times New Roman"/>
                <w:color w:val="auto"/>
                <w:highlight w:val="none"/>
                <w:lang w:val="en-US" w:eastAsia="zh-CN"/>
              </w:rPr>
              <w:t>噪声的监测数据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厂界四周昼间噪声值在</w:t>
            </w:r>
            <w:r>
              <w:rPr>
                <w:rFonts w:hint="default" w:ascii="Times New Roman" w:hAnsi="Times New Roman" w:cs="Times New Roman"/>
                <w:color w:val="auto"/>
                <w:highlight w:val="none"/>
                <w:lang w:val="en-US" w:eastAsia="zh-CN"/>
              </w:rPr>
              <w:t>59~62</w:t>
            </w:r>
            <w:r>
              <w:rPr>
                <w:rFonts w:hint="default" w:ascii="Times New Roman" w:hAnsi="Times New Roman" w:cs="Times New Roman"/>
                <w:color w:val="auto"/>
                <w:highlight w:val="none"/>
              </w:rPr>
              <w:t>dB(A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之间，夜间噪声值在</w:t>
            </w:r>
            <w:r>
              <w:rPr>
                <w:rFonts w:hint="default" w:ascii="Times New Roman" w:hAnsi="Times New Roman" w:cs="Times New Roman"/>
                <w:color w:val="auto"/>
                <w:highlight w:val="none"/>
                <w:lang w:val="en-US" w:eastAsia="zh-CN"/>
              </w:rPr>
              <w:t>50~52</w:t>
            </w:r>
            <w:r>
              <w:rPr>
                <w:rFonts w:hint="default" w:ascii="Times New Roman" w:hAnsi="Times New Roman" w:cs="Times New Roman"/>
                <w:color w:val="auto"/>
                <w:highlight w:val="none"/>
              </w:rPr>
              <w:t>dB(A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之间，均可以达到《工业企业厂界环境噪声排放标准》（GB12348-2008）3类标准限值要求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详见表28</w:t>
            </w:r>
            <w:r>
              <w:rPr>
                <w:rFonts w:hint="default" w:ascii="Times New Roman" w:hAnsi="Times New Roman" w:cs="Times New Roman"/>
                <w:color w:val="auto"/>
                <w:highlight w:val="none"/>
              </w:rPr>
              <w:t>。</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固废污染物排放及</w:t>
            </w:r>
            <w:r>
              <w:rPr>
                <w:rFonts w:hint="default" w:ascii="Times New Roman" w:hAnsi="Times New Roman" w:cs="Times New Roman"/>
                <w:color w:val="auto"/>
                <w:highlight w:val="none"/>
                <w:lang w:val="en-US" w:eastAsia="zh-CN"/>
              </w:rPr>
              <w:t>控制</w:t>
            </w:r>
            <w:r>
              <w:rPr>
                <w:rFonts w:hint="default" w:ascii="Times New Roman" w:hAnsi="Times New Roman" w:cs="Times New Roman"/>
                <w:color w:val="auto"/>
                <w:highlight w:val="none"/>
              </w:rPr>
              <w:t>措施</w:t>
            </w:r>
          </w:p>
          <w:p>
            <w:pPr>
              <w:pStyle w:val="5"/>
              <w:ind w:firstLine="480"/>
              <w:rPr>
                <w:rFonts w:hint="default" w:ascii="Times New Roman" w:hAnsi="Times New Roman" w:cs="Times New Roman"/>
                <w:color w:val="auto"/>
                <w:spacing w:val="-9"/>
                <w:highlight w:val="none"/>
              </w:rPr>
            </w:pPr>
            <w:r>
              <w:rPr>
                <w:rFonts w:hint="default" w:ascii="Times New Roman" w:hAnsi="Times New Roman" w:cs="Times New Roman"/>
                <w:color w:val="auto"/>
                <w:highlight w:val="none"/>
                <w:lang w:val="en-US" w:eastAsia="zh-CN"/>
              </w:rPr>
              <w:t>现有工程</w:t>
            </w:r>
            <w:r>
              <w:rPr>
                <w:rFonts w:hint="default" w:ascii="Times New Roman" w:hAnsi="Times New Roman" w:cs="Times New Roman"/>
                <w:color w:val="auto"/>
                <w:highlight w:val="none"/>
              </w:rPr>
              <w:t>产生的固废主要是员工产生的生活垃圾；</w:t>
            </w:r>
            <w:r>
              <w:rPr>
                <w:rFonts w:hint="default" w:ascii="Times New Roman" w:hAnsi="Times New Roman" w:cs="Times New Roman"/>
                <w:color w:val="auto"/>
                <w:highlight w:val="none"/>
                <w:lang w:val="en-US" w:eastAsia="zh-CN"/>
              </w:rPr>
              <w:t>皮革边角料、废包装材料、擦布等沾染物、洗桶残渣、废包装容器、废机油、DMF废液</w:t>
            </w:r>
            <w:r>
              <w:rPr>
                <w:rFonts w:hint="default" w:ascii="Times New Roman" w:hAnsi="Times New Roman" w:cs="Times New Roman"/>
                <w:color w:val="auto"/>
                <w:spacing w:val="-1"/>
                <w:highlight w:val="none"/>
              </w:rPr>
              <w:t>，固废产生量及处置情况见下表。</w:t>
            </w:r>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现有工程</w:t>
            </w:r>
            <w:r>
              <w:rPr>
                <w:rFonts w:hint="default" w:ascii="Times New Roman" w:hAnsi="Times New Roman" w:cs="Times New Roman"/>
                <w:color w:val="auto"/>
                <w:highlight w:val="none"/>
              </w:rPr>
              <w:t>固废</w:t>
            </w:r>
            <w:r>
              <w:rPr>
                <w:rFonts w:hint="default" w:ascii="Times New Roman" w:hAnsi="Times New Roman" w:eastAsia="宋体" w:cs="Times New Roman"/>
                <w:color w:val="auto"/>
                <w:highlight w:val="none"/>
                <w:lang w:val="en-US" w:eastAsia="zh-CN"/>
              </w:rPr>
              <w:t>产生量</w:t>
            </w:r>
            <w:r>
              <w:rPr>
                <w:rFonts w:hint="default" w:ascii="Times New Roman" w:hAnsi="Times New Roman" w:cs="Times New Roman"/>
                <w:color w:val="auto"/>
                <w:highlight w:val="none"/>
              </w:rPr>
              <w:t>及处置情况一览表</w:t>
            </w:r>
            <w:r>
              <w:rPr>
                <w:rFonts w:hint="default" w:ascii="Times New Roman" w:hAnsi="Times New Roman" w:cs="Times New Roman"/>
                <w:color w:val="auto"/>
                <w:highlight w:val="none"/>
                <w:lang w:val="en-US" w:eastAsia="zh-CN"/>
              </w:rPr>
              <w:t xml:space="preserve">  单位：t/a</w:t>
            </w:r>
          </w:p>
          <w:tbl>
            <w:tblPr>
              <w:tblStyle w:val="11"/>
              <w:tblW w:w="901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998"/>
              <w:gridCol w:w="1387"/>
              <w:gridCol w:w="1759"/>
              <w:gridCol w:w="927"/>
              <w:gridCol w:w="223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1" w:type="dxa"/>
                  <w:gridSpan w:val="2"/>
                  <w:tcBorders>
                    <w:tl2br w:val="nil"/>
                    <w:tr2bl w:val="nil"/>
                  </w:tcBorders>
                  <w:vAlign w:val="center"/>
                </w:tcPr>
                <w:p>
                  <w:pPr>
                    <w:adjustRightInd w:val="0"/>
                    <w:snapToGrid w:val="0"/>
                    <w:jc w:val="center"/>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kern w:val="2"/>
                      <w:sz w:val="21"/>
                      <w:szCs w:val="21"/>
                      <w:highlight w:val="none"/>
                    </w:rPr>
                    <w:t>固废名称</w:t>
                  </w:r>
                </w:p>
              </w:tc>
              <w:tc>
                <w:tcPr>
                  <w:tcW w:w="1387" w:type="dxa"/>
                  <w:tcBorders>
                    <w:tl2br w:val="nil"/>
                    <w:tr2bl w:val="nil"/>
                  </w:tcBorders>
                  <w:vAlign w:val="center"/>
                </w:tcPr>
                <w:p>
                  <w:pPr>
                    <w:adjustRightInd w:val="0"/>
                    <w:snapToGrid w:val="0"/>
                    <w:jc w:val="center"/>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kern w:val="2"/>
                      <w:sz w:val="21"/>
                      <w:szCs w:val="21"/>
                      <w:highlight w:val="none"/>
                    </w:rPr>
                    <w:t>危险废物</w:t>
                  </w:r>
                </w:p>
                <w:p>
                  <w:pPr>
                    <w:adjustRightInd w:val="0"/>
                    <w:snapToGrid w:val="0"/>
                    <w:jc w:val="center"/>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kern w:val="2"/>
                      <w:sz w:val="21"/>
                      <w:szCs w:val="21"/>
                      <w:highlight w:val="none"/>
                    </w:rPr>
                    <w:t>分类编号</w:t>
                  </w:r>
                </w:p>
              </w:tc>
              <w:tc>
                <w:tcPr>
                  <w:tcW w:w="1759" w:type="dxa"/>
                  <w:tcBorders>
                    <w:tl2br w:val="nil"/>
                    <w:tr2bl w:val="nil"/>
                  </w:tcBorders>
                  <w:vAlign w:val="center"/>
                </w:tcPr>
                <w:p>
                  <w:pPr>
                    <w:adjustRightInd w:val="0"/>
                    <w:snapToGrid w:val="0"/>
                    <w:jc w:val="center"/>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kern w:val="2"/>
                      <w:sz w:val="21"/>
                      <w:szCs w:val="21"/>
                      <w:highlight w:val="none"/>
                    </w:rPr>
                    <w:t>主要成份</w:t>
                  </w:r>
                </w:p>
              </w:tc>
              <w:tc>
                <w:tcPr>
                  <w:tcW w:w="927" w:type="dxa"/>
                  <w:tcBorders>
                    <w:tl2br w:val="nil"/>
                    <w:tr2bl w:val="nil"/>
                  </w:tcBorders>
                  <w:vAlign w:val="center"/>
                </w:tcPr>
                <w:p>
                  <w:pPr>
                    <w:adjustRightInd w:val="0"/>
                    <w:snapToGrid w:val="0"/>
                    <w:jc w:val="center"/>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kern w:val="2"/>
                      <w:sz w:val="21"/>
                      <w:szCs w:val="21"/>
                      <w:highlight w:val="none"/>
                    </w:rPr>
                    <w:t>产生量</w:t>
                  </w:r>
                </w:p>
              </w:tc>
              <w:tc>
                <w:tcPr>
                  <w:tcW w:w="2238" w:type="dxa"/>
                  <w:tcBorders>
                    <w:tl2br w:val="nil"/>
                    <w:tr2bl w:val="nil"/>
                  </w:tcBorders>
                  <w:vAlign w:val="center"/>
                </w:tcPr>
                <w:p>
                  <w:pPr>
                    <w:adjustRightInd w:val="0"/>
                    <w:snapToGrid w:val="0"/>
                    <w:jc w:val="center"/>
                    <w:rPr>
                      <w:rFonts w:hint="default" w:ascii="Times New Roman" w:hAnsi="Times New Roman" w:cs="Times New Roman"/>
                      <w:b w:val="0"/>
                      <w:bCs/>
                      <w:color w:val="auto"/>
                      <w:kern w:val="2"/>
                      <w:sz w:val="21"/>
                      <w:szCs w:val="21"/>
                      <w:highlight w:val="none"/>
                    </w:rPr>
                  </w:pPr>
                  <w:r>
                    <w:rPr>
                      <w:rFonts w:hint="default" w:ascii="Times New Roman" w:hAnsi="Times New Roman" w:cs="Times New Roman"/>
                      <w:b w:val="0"/>
                      <w:bCs/>
                      <w:color w:val="auto"/>
                      <w:kern w:val="2"/>
                      <w:sz w:val="21"/>
                      <w:szCs w:val="21"/>
                      <w:highlight w:val="none"/>
                    </w:rPr>
                    <w:t>处置方法</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dxa"/>
                  <w:vMerge w:val="restart"/>
                  <w:tcBorders>
                    <w:tl2br w:val="nil"/>
                    <w:tr2bl w:val="nil"/>
                  </w:tcBorders>
                  <w:vAlign w:val="center"/>
                </w:tcPr>
                <w:p>
                  <w:pPr>
                    <w:widowControl/>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一般工业固废</w:t>
                  </w:r>
                </w:p>
              </w:tc>
              <w:tc>
                <w:tcPr>
                  <w:tcW w:w="1998"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皮革边角料</w:t>
                  </w:r>
                </w:p>
              </w:tc>
              <w:tc>
                <w:tcPr>
                  <w:tcW w:w="1387"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1759"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PU树脂、无纺布、皮革</w:t>
                  </w:r>
                </w:p>
              </w:tc>
              <w:tc>
                <w:tcPr>
                  <w:tcW w:w="927"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25</w:t>
                  </w:r>
                </w:p>
              </w:tc>
              <w:tc>
                <w:tcPr>
                  <w:tcW w:w="2238" w:type="dxa"/>
                  <w:vMerge w:val="restart"/>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外售综合利用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dxa"/>
                  <w:vMerge w:val="continue"/>
                  <w:tcBorders>
                    <w:tl2br w:val="nil"/>
                    <w:tr2bl w:val="nil"/>
                  </w:tcBorders>
                  <w:vAlign w:val="center"/>
                </w:tcPr>
                <w:p>
                  <w:pPr>
                    <w:widowControl/>
                    <w:adjustRightInd w:val="0"/>
                    <w:snapToGrid w:val="0"/>
                    <w:jc w:val="center"/>
                    <w:rPr>
                      <w:rFonts w:hint="default" w:ascii="Times New Roman" w:hAnsi="Times New Roman" w:cs="Times New Roman"/>
                      <w:color w:val="auto"/>
                      <w:kern w:val="2"/>
                      <w:sz w:val="21"/>
                      <w:szCs w:val="21"/>
                      <w:highlight w:val="none"/>
                    </w:rPr>
                  </w:pPr>
                </w:p>
              </w:tc>
              <w:tc>
                <w:tcPr>
                  <w:tcW w:w="1998"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废包装材料</w:t>
                  </w:r>
                </w:p>
              </w:tc>
              <w:tc>
                <w:tcPr>
                  <w:tcW w:w="1387"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1759"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废塑料膜、袋子</w:t>
                  </w:r>
                </w:p>
              </w:tc>
              <w:tc>
                <w:tcPr>
                  <w:tcW w:w="927"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2</w:t>
                  </w:r>
                </w:p>
              </w:tc>
              <w:tc>
                <w:tcPr>
                  <w:tcW w:w="2238" w:type="dxa"/>
                  <w:vMerge w:val="continue"/>
                  <w:tcBorders>
                    <w:tl2br w:val="nil"/>
                    <w:tr2bl w:val="nil"/>
                  </w:tcBorders>
                  <w:vAlign w:val="center"/>
                </w:tcPr>
                <w:p>
                  <w:pPr>
                    <w:widowControl/>
                    <w:adjustRightInd w:val="0"/>
                    <w:snapToGrid w:val="0"/>
                    <w:jc w:val="left"/>
                    <w:rPr>
                      <w:rFonts w:hint="default" w:ascii="Times New Roman" w:hAnsi="Times New Roman" w:cs="Times New Roman"/>
                      <w:color w:val="auto"/>
                      <w:kern w:val="2"/>
                      <w:sz w:val="21"/>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dxa"/>
                  <w:vMerge w:val="continue"/>
                  <w:tcBorders>
                    <w:tl2br w:val="nil"/>
                    <w:tr2bl w:val="nil"/>
                  </w:tcBorders>
                  <w:vAlign w:val="center"/>
                </w:tcPr>
                <w:p>
                  <w:pPr>
                    <w:widowControl/>
                    <w:adjustRightInd w:val="0"/>
                    <w:snapToGrid w:val="0"/>
                    <w:jc w:val="center"/>
                    <w:rPr>
                      <w:rFonts w:hint="default" w:ascii="Times New Roman" w:hAnsi="Times New Roman" w:cs="Times New Roman"/>
                      <w:color w:val="auto"/>
                      <w:kern w:val="2"/>
                      <w:sz w:val="21"/>
                      <w:szCs w:val="21"/>
                      <w:highlight w:val="none"/>
                    </w:rPr>
                  </w:pPr>
                </w:p>
              </w:tc>
              <w:tc>
                <w:tcPr>
                  <w:tcW w:w="1998"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小计</w:t>
                  </w:r>
                </w:p>
              </w:tc>
              <w:tc>
                <w:tcPr>
                  <w:tcW w:w="1387"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1759"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927"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27</w:t>
                  </w:r>
                </w:p>
              </w:tc>
              <w:tc>
                <w:tcPr>
                  <w:tcW w:w="2238"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dxa"/>
                  <w:vMerge w:val="restart"/>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危险废物</w:t>
                  </w:r>
                </w:p>
              </w:tc>
              <w:tc>
                <w:tcPr>
                  <w:tcW w:w="1998"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擦拭布等废弃沾染物</w:t>
                  </w:r>
                </w:p>
              </w:tc>
              <w:tc>
                <w:tcPr>
                  <w:tcW w:w="1387" w:type="dxa"/>
                  <w:vMerge w:val="restart"/>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HW49</w:t>
                  </w:r>
                </w:p>
                <w:p>
                  <w:pPr>
                    <w:adjustRightInd w:val="0"/>
                    <w:snapToGrid w:val="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w:t>
                  </w:r>
                  <w:r>
                    <w:rPr>
                      <w:rFonts w:hint="default" w:ascii="Times New Roman" w:hAnsi="Times New Roman" w:cs="Times New Roman"/>
                      <w:color w:val="auto"/>
                      <w:kern w:val="2"/>
                      <w:sz w:val="21"/>
                      <w:szCs w:val="21"/>
                      <w:highlight w:val="none"/>
                    </w:rPr>
                    <w:t>900-041-49</w:t>
                  </w:r>
                  <w:r>
                    <w:rPr>
                      <w:rFonts w:hint="default" w:ascii="Times New Roman" w:hAnsi="Times New Roman" w:cs="Times New Roman"/>
                      <w:color w:val="auto"/>
                      <w:kern w:val="2"/>
                      <w:sz w:val="21"/>
                      <w:szCs w:val="21"/>
                      <w:highlight w:val="none"/>
                      <w:lang w:val="en-US" w:eastAsia="zh-CN"/>
                    </w:rPr>
                    <w:t>)</w:t>
                  </w:r>
                </w:p>
              </w:tc>
              <w:tc>
                <w:tcPr>
                  <w:tcW w:w="1759"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PU树脂、滤纸、无纺布</w:t>
                  </w:r>
                </w:p>
              </w:tc>
              <w:tc>
                <w:tcPr>
                  <w:tcW w:w="927"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0.5</w:t>
                  </w:r>
                </w:p>
              </w:tc>
              <w:tc>
                <w:tcPr>
                  <w:tcW w:w="2238"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rPr>
                    <w:t>委托</w:t>
                  </w:r>
                  <w:r>
                    <w:rPr>
                      <w:rFonts w:hint="default" w:ascii="Times New Roman" w:hAnsi="Times New Roman" w:cs="Times New Roman"/>
                      <w:color w:val="auto"/>
                      <w:kern w:val="2"/>
                      <w:sz w:val="21"/>
                      <w:szCs w:val="21"/>
                      <w:highlight w:val="none"/>
                      <w:lang w:eastAsia="zh-CN"/>
                    </w:rPr>
                    <w:t>莆田华盛环保产业发展有限公司</w:t>
                  </w:r>
                  <w:r>
                    <w:rPr>
                      <w:rFonts w:hint="default" w:ascii="Times New Roman" w:hAnsi="Times New Roman" w:cs="Times New Roman"/>
                      <w:color w:val="auto"/>
                      <w:kern w:val="2"/>
                      <w:sz w:val="21"/>
                      <w:szCs w:val="21"/>
                      <w:highlight w:val="none"/>
                    </w:rPr>
                    <w:t>处置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dxa"/>
                  <w:vMerge w:val="continue"/>
                  <w:tcBorders>
                    <w:tl2br w:val="nil"/>
                    <w:tr2bl w:val="nil"/>
                  </w:tcBorders>
                  <w:vAlign w:val="center"/>
                </w:tcPr>
                <w:p>
                  <w:pPr>
                    <w:widowControl/>
                    <w:adjustRightInd w:val="0"/>
                    <w:snapToGrid w:val="0"/>
                    <w:jc w:val="left"/>
                    <w:rPr>
                      <w:rFonts w:hint="default" w:ascii="Times New Roman" w:hAnsi="Times New Roman" w:cs="Times New Roman"/>
                      <w:color w:val="auto"/>
                      <w:kern w:val="2"/>
                      <w:sz w:val="21"/>
                      <w:szCs w:val="21"/>
                      <w:highlight w:val="none"/>
                    </w:rPr>
                  </w:pPr>
                </w:p>
              </w:tc>
              <w:tc>
                <w:tcPr>
                  <w:tcW w:w="1998"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洗</w:t>
                  </w:r>
                  <w:r>
                    <w:rPr>
                      <w:rFonts w:hint="default" w:ascii="Times New Roman" w:hAnsi="Times New Roman" w:cs="Times New Roman"/>
                      <w:color w:val="auto"/>
                      <w:kern w:val="2"/>
                      <w:sz w:val="21"/>
                      <w:szCs w:val="21"/>
                      <w:highlight w:val="none"/>
                      <w:lang w:val="en-US" w:eastAsia="zh-CN"/>
                    </w:rPr>
                    <w:t>桶</w:t>
                  </w:r>
                  <w:r>
                    <w:rPr>
                      <w:rFonts w:hint="default" w:ascii="Times New Roman" w:hAnsi="Times New Roman" w:cs="Times New Roman"/>
                      <w:color w:val="auto"/>
                      <w:kern w:val="2"/>
                      <w:sz w:val="21"/>
                      <w:szCs w:val="21"/>
                      <w:highlight w:val="none"/>
                    </w:rPr>
                    <w:t>残渣</w:t>
                  </w:r>
                </w:p>
              </w:tc>
              <w:tc>
                <w:tcPr>
                  <w:tcW w:w="1387" w:type="dxa"/>
                  <w:vMerge w:val="continue"/>
                  <w:tcBorders>
                    <w:tl2br w:val="nil"/>
                    <w:tr2bl w:val="nil"/>
                  </w:tcBorders>
                  <w:vAlign w:val="center"/>
                </w:tcPr>
                <w:p>
                  <w:pPr>
                    <w:widowControl/>
                    <w:adjustRightInd w:val="0"/>
                    <w:snapToGrid w:val="0"/>
                    <w:jc w:val="left"/>
                    <w:rPr>
                      <w:rFonts w:hint="default" w:ascii="Times New Roman" w:hAnsi="Times New Roman" w:cs="Times New Roman"/>
                      <w:color w:val="auto"/>
                      <w:kern w:val="2"/>
                      <w:sz w:val="21"/>
                      <w:szCs w:val="21"/>
                      <w:highlight w:val="none"/>
                    </w:rPr>
                  </w:pPr>
                </w:p>
              </w:tc>
              <w:tc>
                <w:tcPr>
                  <w:tcW w:w="1759"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DMF、SS</w:t>
                  </w:r>
                </w:p>
              </w:tc>
              <w:tc>
                <w:tcPr>
                  <w:tcW w:w="927"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0.2</w:t>
                  </w:r>
                </w:p>
              </w:tc>
              <w:tc>
                <w:tcPr>
                  <w:tcW w:w="2238" w:type="dxa"/>
                  <w:vMerge w:val="continue"/>
                  <w:tcBorders>
                    <w:tl2br w:val="nil"/>
                    <w:tr2bl w:val="nil"/>
                  </w:tcBorders>
                  <w:vAlign w:val="center"/>
                </w:tcPr>
                <w:p>
                  <w:pPr>
                    <w:widowControl/>
                    <w:adjustRightInd w:val="0"/>
                    <w:snapToGrid w:val="0"/>
                    <w:jc w:val="left"/>
                    <w:rPr>
                      <w:rFonts w:hint="default" w:ascii="Times New Roman" w:hAnsi="Times New Roman" w:cs="Times New Roman"/>
                      <w:color w:val="auto"/>
                      <w:kern w:val="2"/>
                      <w:sz w:val="21"/>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dxa"/>
                  <w:vMerge w:val="continue"/>
                  <w:tcBorders>
                    <w:tl2br w:val="nil"/>
                    <w:tr2bl w:val="nil"/>
                  </w:tcBorders>
                  <w:vAlign w:val="center"/>
                </w:tcPr>
                <w:p>
                  <w:pPr>
                    <w:widowControl/>
                    <w:adjustRightInd w:val="0"/>
                    <w:snapToGrid w:val="0"/>
                    <w:jc w:val="left"/>
                    <w:rPr>
                      <w:rFonts w:hint="default" w:ascii="Times New Roman" w:hAnsi="Times New Roman" w:cs="Times New Roman"/>
                      <w:color w:val="auto"/>
                      <w:kern w:val="2"/>
                      <w:sz w:val="21"/>
                      <w:szCs w:val="21"/>
                      <w:highlight w:val="none"/>
                    </w:rPr>
                  </w:pPr>
                </w:p>
              </w:tc>
              <w:tc>
                <w:tcPr>
                  <w:tcW w:w="1998"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化学品废包装容器</w:t>
                  </w:r>
                </w:p>
              </w:tc>
              <w:tc>
                <w:tcPr>
                  <w:tcW w:w="1387" w:type="dxa"/>
                  <w:tcBorders>
                    <w:tl2br w:val="nil"/>
                    <w:tr2bl w:val="nil"/>
                  </w:tcBorders>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HW49</w:t>
                  </w:r>
                </w:p>
                <w:p>
                  <w:pPr>
                    <w:adjustRightInd w:val="0"/>
                    <w:snapToGrid w:val="0"/>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val="en-US" w:eastAsia="zh-CN"/>
                    </w:rPr>
                    <w:t>(</w:t>
                  </w:r>
                  <w:r>
                    <w:rPr>
                      <w:rFonts w:hint="default" w:ascii="Times New Roman" w:hAnsi="Times New Roman" w:cs="Times New Roman"/>
                      <w:color w:val="auto"/>
                      <w:kern w:val="2"/>
                      <w:sz w:val="21"/>
                      <w:szCs w:val="21"/>
                      <w:highlight w:val="none"/>
                    </w:rPr>
                    <w:t>900-041-49</w:t>
                  </w:r>
                  <w:r>
                    <w:rPr>
                      <w:rFonts w:hint="default" w:ascii="Times New Roman" w:hAnsi="Times New Roman" w:cs="Times New Roman"/>
                      <w:color w:val="auto"/>
                      <w:kern w:val="2"/>
                      <w:sz w:val="21"/>
                      <w:szCs w:val="21"/>
                      <w:highlight w:val="none"/>
                      <w:lang w:val="en-US" w:eastAsia="zh-CN"/>
                    </w:rPr>
                    <w:t>)</w:t>
                  </w:r>
                </w:p>
              </w:tc>
              <w:tc>
                <w:tcPr>
                  <w:tcW w:w="1759"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PU树脂、色料等</w:t>
                  </w:r>
                </w:p>
              </w:tc>
              <w:tc>
                <w:tcPr>
                  <w:tcW w:w="927"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1</w:t>
                  </w:r>
                </w:p>
              </w:tc>
              <w:tc>
                <w:tcPr>
                  <w:tcW w:w="2238"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原料空桶由厂家回收利用，未产生破损废桶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dxa"/>
                  <w:vMerge w:val="continue"/>
                  <w:tcBorders>
                    <w:tl2br w:val="nil"/>
                    <w:tr2bl w:val="nil"/>
                  </w:tcBorders>
                  <w:vAlign w:val="center"/>
                </w:tcPr>
                <w:p>
                  <w:pPr>
                    <w:widowControl/>
                    <w:adjustRightInd w:val="0"/>
                    <w:snapToGrid w:val="0"/>
                    <w:jc w:val="left"/>
                    <w:rPr>
                      <w:rFonts w:hint="default" w:ascii="Times New Roman" w:hAnsi="Times New Roman" w:cs="Times New Roman"/>
                      <w:color w:val="auto"/>
                      <w:kern w:val="2"/>
                      <w:sz w:val="21"/>
                      <w:szCs w:val="21"/>
                      <w:highlight w:val="none"/>
                    </w:rPr>
                  </w:pPr>
                </w:p>
              </w:tc>
              <w:tc>
                <w:tcPr>
                  <w:tcW w:w="1998"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废机油</w:t>
                  </w:r>
                </w:p>
              </w:tc>
              <w:tc>
                <w:tcPr>
                  <w:tcW w:w="1387"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HW08</w:t>
                  </w:r>
                </w:p>
                <w:p>
                  <w:pPr>
                    <w:adjustRightInd w:val="0"/>
                    <w:snapToGrid w:val="0"/>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val="en-US" w:eastAsia="zh-CN"/>
                    </w:rPr>
                    <w:t>(</w:t>
                  </w:r>
                  <w:r>
                    <w:rPr>
                      <w:rFonts w:hint="default" w:ascii="Times New Roman" w:hAnsi="Times New Roman" w:cs="Times New Roman"/>
                      <w:color w:val="auto"/>
                      <w:kern w:val="2"/>
                      <w:sz w:val="21"/>
                      <w:szCs w:val="21"/>
                      <w:highlight w:val="none"/>
                    </w:rPr>
                    <w:t>900-249-08</w:t>
                  </w:r>
                  <w:r>
                    <w:rPr>
                      <w:rFonts w:hint="default" w:ascii="Times New Roman" w:hAnsi="Times New Roman" w:cs="Times New Roman"/>
                      <w:color w:val="auto"/>
                      <w:kern w:val="2"/>
                      <w:sz w:val="21"/>
                      <w:szCs w:val="21"/>
                      <w:highlight w:val="none"/>
                      <w:lang w:val="en-US" w:eastAsia="zh-CN"/>
                    </w:rPr>
                    <w:t>)</w:t>
                  </w:r>
                </w:p>
              </w:tc>
              <w:tc>
                <w:tcPr>
                  <w:tcW w:w="1759"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矿物油</w:t>
                  </w:r>
                </w:p>
              </w:tc>
              <w:tc>
                <w:tcPr>
                  <w:tcW w:w="927"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0.1</w:t>
                  </w:r>
                </w:p>
              </w:tc>
              <w:tc>
                <w:tcPr>
                  <w:tcW w:w="2238"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回用设备润滑</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dxa"/>
                  <w:vMerge w:val="continue"/>
                  <w:tcBorders>
                    <w:tl2br w:val="nil"/>
                    <w:tr2bl w:val="nil"/>
                  </w:tcBorders>
                  <w:vAlign w:val="center"/>
                </w:tcPr>
                <w:p>
                  <w:pPr>
                    <w:widowControl/>
                    <w:adjustRightInd w:val="0"/>
                    <w:snapToGrid w:val="0"/>
                    <w:jc w:val="left"/>
                    <w:rPr>
                      <w:rFonts w:hint="default" w:ascii="Times New Roman" w:hAnsi="Times New Roman" w:cs="Times New Roman"/>
                      <w:color w:val="auto"/>
                      <w:kern w:val="2"/>
                      <w:sz w:val="21"/>
                      <w:szCs w:val="21"/>
                      <w:highlight w:val="none"/>
                    </w:rPr>
                  </w:pPr>
                </w:p>
              </w:tc>
              <w:tc>
                <w:tcPr>
                  <w:tcW w:w="1998"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DMF废液</w:t>
                  </w:r>
                </w:p>
              </w:tc>
              <w:tc>
                <w:tcPr>
                  <w:tcW w:w="1387"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HW06</w:t>
                  </w:r>
                </w:p>
                <w:p>
                  <w:pPr>
                    <w:adjustRightInd w:val="0"/>
                    <w:snapToGrid w:val="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(900-404-06)</w:t>
                  </w:r>
                </w:p>
              </w:tc>
              <w:tc>
                <w:tcPr>
                  <w:tcW w:w="1759"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DMF、水</w:t>
                  </w:r>
                </w:p>
              </w:tc>
              <w:tc>
                <w:tcPr>
                  <w:tcW w:w="927"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8251.2</w:t>
                  </w:r>
                </w:p>
              </w:tc>
              <w:tc>
                <w:tcPr>
                  <w:tcW w:w="2238"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委托福建大成皮业有限公司处置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3" w:type="dxa"/>
                  <w:vMerge w:val="continue"/>
                  <w:tcBorders>
                    <w:tl2br w:val="nil"/>
                    <w:tr2bl w:val="nil"/>
                  </w:tcBorders>
                  <w:vAlign w:val="center"/>
                </w:tcPr>
                <w:p>
                  <w:pPr>
                    <w:widowControl/>
                    <w:adjustRightInd w:val="0"/>
                    <w:snapToGrid w:val="0"/>
                    <w:jc w:val="left"/>
                    <w:rPr>
                      <w:rFonts w:hint="default" w:ascii="Times New Roman" w:hAnsi="Times New Roman" w:cs="Times New Roman"/>
                      <w:color w:val="auto"/>
                      <w:kern w:val="2"/>
                      <w:sz w:val="21"/>
                      <w:szCs w:val="21"/>
                      <w:highlight w:val="none"/>
                    </w:rPr>
                  </w:pPr>
                </w:p>
              </w:tc>
              <w:tc>
                <w:tcPr>
                  <w:tcW w:w="1998"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小计</w:t>
                  </w:r>
                </w:p>
              </w:tc>
              <w:tc>
                <w:tcPr>
                  <w:tcW w:w="1387"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1759"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927"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8253</w:t>
                  </w:r>
                </w:p>
              </w:tc>
              <w:tc>
                <w:tcPr>
                  <w:tcW w:w="2238"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01" w:type="dxa"/>
                  <w:gridSpan w:val="2"/>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生活垃圾</w:t>
                  </w:r>
                </w:p>
              </w:tc>
              <w:tc>
                <w:tcPr>
                  <w:tcW w:w="1387"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1759"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果皮、包装物、废纸、废塑料</w:t>
                  </w:r>
                </w:p>
              </w:tc>
              <w:tc>
                <w:tcPr>
                  <w:tcW w:w="927"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18</w:t>
                  </w:r>
                </w:p>
              </w:tc>
              <w:tc>
                <w:tcPr>
                  <w:tcW w:w="2238"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交环卫部门处置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7" w:type="dxa"/>
                  <w:gridSpan w:val="4"/>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总        计</w:t>
                  </w:r>
                </w:p>
              </w:tc>
              <w:tc>
                <w:tcPr>
                  <w:tcW w:w="927"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8298</w:t>
                  </w:r>
                </w:p>
              </w:tc>
              <w:tc>
                <w:tcPr>
                  <w:tcW w:w="2238"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r>
          </w:tbl>
          <w:p>
            <w:pPr>
              <w:pStyle w:val="5"/>
              <w:spacing w:line="240" w:lineRule="auto"/>
              <w:ind w:firstLine="480"/>
              <w:rPr>
                <w:rFonts w:hint="default" w:ascii="Times New Roman" w:hAnsi="Times New Roman" w:eastAsia="宋体" w:cs="Times New Roman"/>
                <w:color w:val="auto"/>
                <w:highlight w:val="none"/>
                <w:lang w:eastAsia="zh-CN"/>
              </w:rPr>
            </w:pP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现有工程采取的环保设施及厂区现状见图</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p>
          <w:tbl>
            <w:tblPr>
              <w:tblStyle w:val="11"/>
              <w:tblW w:w="901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06"/>
              <w:gridCol w:w="450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6" w:type="dxa"/>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 w:val="20"/>
                      <w:highlight w:val="none"/>
                    </w:rPr>
                    <mc:AlternateContent>
                      <mc:Choice Requires="wps">
                        <w:drawing>
                          <wp:anchor distT="0" distB="0" distL="114300" distR="114300" simplePos="0" relativeHeight="251664384" behindDoc="0" locked="0" layoutInCell="1" allowOverlap="1">
                            <wp:simplePos x="0" y="0"/>
                            <wp:positionH relativeFrom="column">
                              <wp:posOffset>1932305</wp:posOffset>
                            </wp:positionH>
                            <wp:positionV relativeFrom="paragraph">
                              <wp:posOffset>753745</wp:posOffset>
                            </wp:positionV>
                            <wp:extent cx="767715" cy="28130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767715" cy="281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2#喷淋塔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15pt;margin-top:59.35pt;height:22.15pt;width:60.45pt;z-index:251664384;mso-width-relative:page;mso-height-relative:page;" filled="f" stroked="f" coordsize="21600,21600" o:gfxdata="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IZuRdsAAAALAQAADwAAAAAAAAABACAAAAAiAAAA&#10;ZHJzL2Rvd25yZXYueG1sUEsBAhQAFAAAAAgAh07iQDwY2Pk9AgAAZwQAAA4AAAAAAAAAAQAgAAAA&#10;KgEAAGRycy9lMm9Eb2MueG1sUEsFBgAAAAAGAAYAWQEAANkFAAAAAA==&#10;">
                            <v:fill on="f" focussize="0,0"/>
                            <v:stroke on="f" weight="0.5pt"/>
                            <v:imagedata o:title=""/>
                            <o:lock v:ext="edit" aspectratio="f"/>
                            <v:textbox>
                              <w:txbxContent>
                                <w:p>
                                  <w:pPr>
                                    <w:rPr>
                                      <w:rFonts w:hint="default" w:eastAsia="宋体"/>
                                      <w:b/>
                                      <w:bCs/>
                                      <w:lang w:val="en-US" w:eastAsia="zh-CN"/>
                                    </w:rPr>
                                  </w:pPr>
                                  <w:r>
                                    <w:rPr>
                                      <w:rFonts w:hint="eastAsia"/>
                                      <w:b/>
                                      <w:bCs/>
                                      <w:lang w:val="en-US" w:eastAsia="zh-CN"/>
                                    </w:rPr>
                                    <w:t>2#喷淋塔</w:t>
                                  </w:r>
                                </w:p>
                              </w:txbxContent>
                            </v:textbox>
                          </v:shape>
                        </w:pict>
                      </mc:Fallback>
                    </mc:AlternateContent>
                  </w:r>
                  <w:r>
                    <w:rPr>
                      <w:rFonts w:hint="default" w:ascii="Times New Roman" w:hAnsi="Times New Roman" w:cs="Times New Roman"/>
                      <w:color w:val="auto"/>
                      <w:sz w:val="20"/>
                      <w:highlight w:val="none"/>
                    </w:rPr>
                    <mc:AlternateContent>
                      <mc:Choice Requires="wps">
                        <w:drawing>
                          <wp:anchor distT="0" distB="0" distL="114300" distR="114300" simplePos="0" relativeHeight="251663360" behindDoc="0" locked="0" layoutInCell="1" allowOverlap="1">
                            <wp:simplePos x="0" y="0"/>
                            <wp:positionH relativeFrom="column">
                              <wp:posOffset>88900</wp:posOffset>
                            </wp:positionH>
                            <wp:positionV relativeFrom="paragraph">
                              <wp:posOffset>648335</wp:posOffset>
                            </wp:positionV>
                            <wp:extent cx="767715" cy="281305"/>
                            <wp:effectExtent l="0" t="0" r="0" b="0"/>
                            <wp:wrapNone/>
                            <wp:docPr id="24" name="文本框 24"/>
                            <wp:cNvGraphicFramePr/>
                            <a:graphic xmlns:a="http://schemas.openxmlformats.org/drawingml/2006/main">
                              <a:graphicData uri="http://schemas.microsoft.com/office/word/2010/wordprocessingShape">
                                <wps:wsp>
                                  <wps:cNvSpPr txBox="1"/>
                                  <wps:spPr>
                                    <a:xfrm>
                                      <a:off x="1566545" y="6784340"/>
                                      <a:ext cx="767715" cy="281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1#喷淋塔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pt;margin-top:51.05pt;height:22.15pt;width:60.45pt;z-index:251663360;mso-width-relative:page;mso-height-relative:page;" filled="f" stroked="f" coordsize="21600,21600" o:gfxdata="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0AlMWNoAAAAKAQAADwAAAAAAAAAB&#10;ACAAAAAiAAAAZHJzL2Rvd25yZXYueG1sUEsBAhQAFAAAAAgAh07iQCDJiUxHAgAAcwQAAA4AAAAA&#10;AAAAAQAgAAAAKQEAAGRycy9lMm9Eb2MueG1sUEsFBgAAAAAGAAYAWQEAAOIFAAAAAA==&#10;">
                            <v:fill on="f" focussize="0,0"/>
                            <v:stroke on="f" weight="0.5pt"/>
                            <v:imagedata o:title=""/>
                            <o:lock v:ext="edit" aspectratio="f"/>
                            <v:textbox>
                              <w:txbxContent>
                                <w:p>
                                  <w:pPr>
                                    <w:rPr>
                                      <w:rFonts w:hint="default" w:eastAsia="宋体"/>
                                      <w:b/>
                                      <w:bCs/>
                                      <w:lang w:val="en-US" w:eastAsia="zh-CN"/>
                                    </w:rPr>
                                  </w:pPr>
                                  <w:r>
                                    <w:rPr>
                                      <w:rFonts w:hint="eastAsia"/>
                                      <w:b/>
                                      <w:bCs/>
                                      <w:lang w:val="en-US" w:eastAsia="zh-CN"/>
                                    </w:rPr>
                                    <w:t>1#喷淋塔</w:t>
                                  </w:r>
                                </w:p>
                              </w:txbxContent>
                            </v:textbox>
                          </v:shape>
                        </w:pict>
                      </mc:Fallback>
                    </mc:AlternateContent>
                  </w:r>
                  <w:r>
                    <w:rPr>
                      <w:rFonts w:hint="default" w:ascii="Times New Roman" w:hAnsi="Times New Roman" w:eastAsia="宋体" w:cs="Times New Roman"/>
                      <w:color w:val="auto"/>
                      <w:highlight w:val="none"/>
                      <w:lang w:eastAsia="zh-CN"/>
                    </w:rPr>
                    <w:drawing>
                      <wp:inline distT="0" distB="0" distL="114300" distR="114300">
                        <wp:extent cx="2630170" cy="3142615"/>
                        <wp:effectExtent l="0" t="0" r="17780" b="635"/>
                        <wp:docPr id="22" name="图片 22" descr="IMG_20220629_14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20629_145417"/>
                                <pic:cNvPicPr>
                                  <a:picLocks noChangeAspect="1"/>
                                </pic:cNvPicPr>
                              </pic:nvPicPr>
                              <pic:blipFill>
                                <a:blip r:embed="rId10"/>
                                <a:srcRect l="8333" b="17857"/>
                                <a:stretch>
                                  <a:fillRect/>
                                </a:stretch>
                              </pic:blipFill>
                              <pic:spPr>
                                <a:xfrm>
                                  <a:off x="0" y="0"/>
                                  <a:ext cx="2630170" cy="3142615"/>
                                </a:xfrm>
                                <a:prstGeom prst="rect">
                                  <a:avLst/>
                                </a:prstGeom>
                              </pic:spPr>
                            </pic:pic>
                          </a:graphicData>
                        </a:graphic>
                      </wp:inline>
                    </w:drawing>
                  </w:r>
                </w:p>
              </w:tc>
              <w:tc>
                <w:tcPr>
                  <w:tcW w:w="450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2522220" cy="3160395"/>
                        <wp:effectExtent l="0" t="0" r="11430" b="1905"/>
                        <wp:docPr id="28" name="图片 28" descr="IMG_20220629_14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20629_143504"/>
                                <pic:cNvPicPr>
                                  <a:picLocks noChangeAspect="1"/>
                                </pic:cNvPicPr>
                              </pic:nvPicPr>
                              <pic:blipFill>
                                <a:blip r:embed="rId11"/>
                                <a:srcRect b="6018"/>
                                <a:stretch>
                                  <a:fillRect/>
                                </a:stretch>
                              </pic:blipFill>
                              <pic:spPr>
                                <a:xfrm>
                                  <a:off x="0" y="0"/>
                                  <a:ext cx="2522220" cy="3160395"/>
                                </a:xfrm>
                                <a:prstGeom prst="rect">
                                  <a:avLst/>
                                </a:prstGeom>
                              </pic:spPr>
                            </pic:pic>
                          </a:graphicData>
                        </a:graphic>
                      </wp:inline>
                    </w:drawing>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6" w:type="dxa"/>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1#、2#喷淋塔</w:t>
                  </w:r>
                </w:p>
              </w:tc>
              <w:tc>
                <w:tcPr>
                  <w:tcW w:w="450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3#喷淋塔</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2438400" cy="3251200"/>
                        <wp:effectExtent l="0" t="0" r="0" b="6350"/>
                        <wp:docPr id="34" name="图片 34" descr="IMG_20220629_14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20629_143702"/>
                                <pic:cNvPicPr>
                                  <a:picLocks noChangeAspect="1"/>
                                </pic:cNvPicPr>
                              </pic:nvPicPr>
                              <pic:blipFill>
                                <a:blip r:embed="rId12"/>
                                <a:stretch>
                                  <a:fillRect/>
                                </a:stretch>
                              </pic:blipFill>
                              <pic:spPr>
                                <a:xfrm>
                                  <a:off x="0" y="0"/>
                                  <a:ext cx="2438400" cy="3251200"/>
                                </a:xfrm>
                                <a:prstGeom prst="rect">
                                  <a:avLst/>
                                </a:prstGeom>
                              </pic:spPr>
                            </pic:pic>
                          </a:graphicData>
                        </a:graphic>
                      </wp:inline>
                    </w:drawing>
                  </w:r>
                </w:p>
              </w:tc>
              <w:tc>
                <w:tcPr>
                  <w:tcW w:w="4506" w:type="dxa"/>
                  <w:tcBorders>
                    <w:tl2br w:val="nil"/>
                    <w:tr2bl w:val="nil"/>
                  </w:tcBorders>
                  <w:shd w:val="clear" w:color="auto" w:fill="auto"/>
                  <w:vAlign w:val="center"/>
                </w:tcPr>
                <w:p>
                  <w:pPr>
                    <w:pStyle w:val="16"/>
                    <w:ind w:left="0" w:leftChars="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drawing>
                      <wp:inline distT="0" distB="0" distL="114300" distR="114300">
                        <wp:extent cx="2493645" cy="3148965"/>
                        <wp:effectExtent l="0" t="0" r="1905" b="13335"/>
                        <wp:docPr id="29" name="图片 29" descr="646c8c6def74812f958e2d18ee3f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46c8c6def74812f958e2d18ee3f602"/>
                                <pic:cNvPicPr>
                                  <a:picLocks noChangeAspect="1"/>
                                </pic:cNvPicPr>
                              </pic:nvPicPr>
                              <pic:blipFill>
                                <a:blip r:embed="rId13"/>
                                <a:srcRect l="335" t="23087" b="18847"/>
                                <a:stretch>
                                  <a:fillRect/>
                                </a:stretch>
                              </pic:blipFill>
                              <pic:spPr>
                                <a:xfrm>
                                  <a:off x="0" y="0"/>
                                  <a:ext cx="2493645" cy="3148965"/>
                                </a:xfrm>
                                <a:prstGeom prst="rect">
                                  <a:avLst/>
                                </a:prstGeom>
                              </pic:spPr>
                            </pic:pic>
                          </a:graphicData>
                        </a:graphic>
                      </wp:inline>
                    </w:drawing>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储罐区</w:t>
                  </w:r>
                </w:p>
              </w:tc>
              <w:tc>
                <w:tcPr>
                  <w:tcW w:w="450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rPr>
                    <w:t>进气检测孔未封闭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6" w:type="dxa"/>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2667000" cy="2413000"/>
                        <wp:effectExtent l="0" t="0" r="0" b="6350"/>
                        <wp:docPr id="12" name="图片 12" descr="IMG_20220629_14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20629_144049"/>
                                <pic:cNvPicPr>
                                  <a:picLocks noChangeAspect="1"/>
                                </pic:cNvPicPr>
                              </pic:nvPicPr>
                              <pic:blipFill>
                                <a:blip r:embed="rId14"/>
                                <a:srcRect t="25232" b="6911"/>
                                <a:stretch>
                                  <a:fillRect/>
                                </a:stretch>
                              </pic:blipFill>
                              <pic:spPr>
                                <a:xfrm>
                                  <a:off x="0" y="0"/>
                                  <a:ext cx="2667000" cy="2413000"/>
                                </a:xfrm>
                                <a:prstGeom prst="rect">
                                  <a:avLst/>
                                </a:prstGeom>
                              </pic:spPr>
                            </pic:pic>
                          </a:graphicData>
                        </a:graphic>
                      </wp:inline>
                    </w:drawing>
                  </w:r>
                </w:p>
              </w:tc>
              <w:tc>
                <w:tcPr>
                  <w:tcW w:w="4506" w:type="dxa"/>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2438400" cy="2346325"/>
                        <wp:effectExtent l="0" t="0" r="0" b="15875"/>
                        <wp:docPr id="13" name="图片 13" descr="IMG_20220629_14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20629_144107"/>
                                <pic:cNvPicPr>
                                  <a:picLocks noChangeAspect="1"/>
                                </pic:cNvPicPr>
                              </pic:nvPicPr>
                              <pic:blipFill>
                                <a:blip r:embed="rId15"/>
                                <a:srcRect t="6602" b="21230"/>
                                <a:stretch>
                                  <a:fillRect/>
                                </a:stretch>
                              </pic:blipFill>
                              <pic:spPr>
                                <a:xfrm>
                                  <a:off x="0" y="0"/>
                                  <a:ext cx="2438400" cy="2346325"/>
                                </a:xfrm>
                                <a:prstGeom prst="rect">
                                  <a:avLst/>
                                </a:prstGeom>
                              </pic:spPr>
                            </pic:pic>
                          </a:graphicData>
                        </a:graphic>
                      </wp:inline>
                    </w:drawing>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6" w:type="dxa"/>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集气罩+密闭收集</w:t>
                  </w:r>
                </w:p>
              </w:tc>
              <w:tc>
                <w:tcPr>
                  <w:tcW w:w="4506" w:type="dxa"/>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烘干密闭收集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6" w:type="dxa"/>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2712085" cy="1922145"/>
                        <wp:effectExtent l="0" t="0" r="12065" b="1905"/>
                        <wp:docPr id="17" name="图片 17" descr="IMG_20220629_14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20629_144613"/>
                                <pic:cNvPicPr>
                                  <a:picLocks noChangeAspect="1"/>
                                </pic:cNvPicPr>
                              </pic:nvPicPr>
                              <pic:blipFill>
                                <a:blip r:embed="rId16"/>
                                <a:srcRect l="4167" t="30766" b="18304"/>
                                <a:stretch>
                                  <a:fillRect/>
                                </a:stretch>
                              </pic:blipFill>
                              <pic:spPr>
                                <a:xfrm>
                                  <a:off x="0" y="0"/>
                                  <a:ext cx="2712085" cy="1922145"/>
                                </a:xfrm>
                                <a:prstGeom prst="rect">
                                  <a:avLst/>
                                </a:prstGeom>
                              </pic:spPr>
                            </pic:pic>
                          </a:graphicData>
                        </a:graphic>
                      </wp:inline>
                    </w:drawing>
                  </w:r>
                </w:p>
              </w:tc>
              <w:tc>
                <w:tcPr>
                  <w:tcW w:w="450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drawing>
                      <wp:inline distT="0" distB="0" distL="114300" distR="114300">
                        <wp:extent cx="2710815" cy="1806575"/>
                        <wp:effectExtent l="0" t="0" r="13335" b="3175"/>
                        <wp:docPr id="65" name="图片 65" descr="abc202ae69dc80d70bc9380c3543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abc202ae69dc80d70bc9380c3543fd8"/>
                                <pic:cNvPicPr>
                                  <a:picLocks noChangeAspect="1"/>
                                </pic:cNvPicPr>
                              </pic:nvPicPr>
                              <pic:blipFill>
                                <a:blip r:embed="rId17"/>
                                <a:srcRect l="6181" r="24538"/>
                                <a:stretch>
                                  <a:fillRect/>
                                </a:stretch>
                              </pic:blipFill>
                              <pic:spPr>
                                <a:xfrm>
                                  <a:off x="0" y="0"/>
                                  <a:ext cx="2710815" cy="1806575"/>
                                </a:xfrm>
                                <a:prstGeom prst="rect">
                                  <a:avLst/>
                                </a:prstGeom>
                              </pic:spPr>
                            </pic:pic>
                          </a:graphicData>
                        </a:graphic>
                      </wp:inline>
                    </w:drawing>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6" w:type="dxa"/>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配料区域集气罩</w:t>
                  </w:r>
                </w:p>
              </w:tc>
              <w:tc>
                <w:tcPr>
                  <w:tcW w:w="450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配料间部分区域密闭收集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6" w:type="dxa"/>
                  <w:tcBorders>
                    <w:tl2br w:val="nil"/>
                    <w:tr2bl w:val="nil"/>
                  </w:tcBorders>
                  <w:shd w:val="clear" w:color="auto" w:fill="auto"/>
                  <w:vAlign w:val="center"/>
                </w:tcPr>
                <w:p>
                  <w:pPr>
                    <w:pStyle w:val="16"/>
                    <w:ind w:left="0" w:leftChars="0" w:firstLine="0" w:firstLineChars="0"/>
                    <w:jc w:val="both"/>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highlight w:val="none"/>
                      <w:lang w:eastAsia="zh-CN"/>
                    </w:rPr>
                    <w:drawing>
                      <wp:inline distT="0" distB="0" distL="114300" distR="114300">
                        <wp:extent cx="2584450" cy="1952625"/>
                        <wp:effectExtent l="0" t="0" r="6350" b="9525"/>
                        <wp:docPr id="66" name="图片 66" descr="f7e7ce03a415ee38d68f17f14c55b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f7e7ce03a415ee38d68f17f14c55b82"/>
                                <pic:cNvPicPr>
                                  <a:picLocks noChangeAspect="1"/>
                                </pic:cNvPicPr>
                              </pic:nvPicPr>
                              <pic:blipFill>
                                <a:blip r:embed="rId18"/>
                                <a:srcRect l="5964" r="18131"/>
                                <a:stretch>
                                  <a:fillRect/>
                                </a:stretch>
                              </pic:blipFill>
                              <pic:spPr>
                                <a:xfrm>
                                  <a:off x="0" y="0"/>
                                  <a:ext cx="2584450" cy="1952625"/>
                                </a:xfrm>
                                <a:prstGeom prst="rect">
                                  <a:avLst/>
                                </a:prstGeom>
                              </pic:spPr>
                            </pic:pic>
                          </a:graphicData>
                        </a:graphic>
                      </wp:inline>
                    </w:drawing>
                  </w:r>
                </w:p>
              </w:tc>
              <w:tc>
                <w:tcPr>
                  <w:tcW w:w="450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eastAsia="zh-CN"/>
                    </w:rPr>
                    <w:drawing>
                      <wp:inline distT="0" distB="0" distL="114300" distR="114300">
                        <wp:extent cx="2453640" cy="1840865"/>
                        <wp:effectExtent l="0" t="0" r="3810" b="6985"/>
                        <wp:docPr id="77" name="图片 77" descr="2039f9c2c64d01ea55c8076ab15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2039f9c2c64d01ea55c8076ab159056"/>
                                <pic:cNvPicPr>
                                  <a:picLocks noChangeAspect="1"/>
                                </pic:cNvPicPr>
                              </pic:nvPicPr>
                              <pic:blipFill>
                                <a:blip r:embed="rId19"/>
                                <a:stretch>
                                  <a:fillRect/>
                                </a:stretch>
                              </pic:blipFill>
                              <pic:spPr>
                                <a:xfrm>
                                  <a:off x="0" y="0"/>
                                  <a:ext cx="2453640" cy="1840865"/>
                                </a:xfrm>
                                <a:prstGeom prst="rect">
                                  <a:avLst/>
                                </a:prstGeom>
                              </pic:spPr>
                            </pic:pic>
                          </a:graphicData>
                        </a:graphic>
                      </wp:inline>
                    </w:drawing>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highlight w:val="none"/>
                      <w:lang w:val="en-US" w:eastAsia="zh-CN"/>
                    </w:rPr>
                    <w:t>涂布区域集气罩+密闭收集</w:t>
                  </w:r>
                </w:p>
              </w:tc>
              <w:tc>
                <w:tcPr>
                  <w:tcW w:w="450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危险废物标识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6" w:type="dxa"/>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2667000" cy="2032000"/>
                        <wp:effectExtent l="0" t="0" r="0" b="6350"/>
                        <wp:docPr id="19" name="图片 19" descr="IMG_20220629_14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20629_145221"/>
                                <pic:cNvPicPr>
                                  <a:picLocks noChangeAspect="1"/>
                                </pic:cNvPicPr>
                              </pic:nvPicPr>
                              <pic:blipFill>
                                <a:blip r:embed="rId20"/>
                                <a:srcRect t="25000" b="17857"/>
                                <a:stretch>
                                  <a:fillRect/>
                                </a:stretch>
                              </pic:blipFill>
                              <pic:spPr>
                                <a:xfrm>
                                  <a:off x="0" y="0"/>
                                  <a:ext cx="2667000" cy="2032000"/>
                                </a:xfrm>
                                <a:prstGeom prst="rect">
                                  <a:avLst/>
                                </a:prstGeom>
                              </pic:spPr>
                            </pic:pic>
                          </a:graphicData>
                        </a:graphic>
                      </wp:inline>
                    </w:drawing>
                  </w:r>
                </w:p>
              </w:tc>
              <w:tc>
                <w:tcPr>
                  <w:tcW w:w="4506" w:type="dxa"/>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2438400" cy="2012950"/>
                        <wp:effectExtent l="0" t="0" r="0" b="6350"/>
                        <wp:docPr id="20" name="图片 20" descr="IMG_20220629_14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20629_145252"/>
                                <pic:cNvPicPr>
                                  <a:picLocks noChangeAspect="1"/>
                                </pic:cNvPicPr>
                              </pic:nvPicPr>
                              <pic:blipFill>
                                <a:blip r:embed="rId21"/>
                                <a:srcRect t="21973" b="16113"/>
                                <a:stretch>
                                  <a:fillRect/>
                                </a:stretch>
                              </pic:blipFill>
                              <pic:spPr>
                                <a:xfrm>
                                  <a:off x="0" y="0"/>
                                  <a:ext cx="2438400" cy="2012950"/>
                                </a:xfrm>
                                <a:prstGeom prst="rect">
                                  <a:avLst/>
                                </a:prstGeom>
                              </pic:spPr>
                            </pic:pic>
                          </a:graphicData>
                        </a:graphic>
                      </wp:inline>
                    </w:drawing>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6" w:type="dxa"/>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危废管理制度上墙</w:t>
                  </w:r>
                </w:p>
              </w:tc>
              <w:tc>
                <w:tcPr>
                  <w:tcW w:w="4506" w:type="dxa"/>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危废间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lang w:eastAsia="zh-CN"/>
                    </w:rPr>
                    <w:drawing>
                      <wp:inline distT="0" distB="0" distL="114300" distR="114300">
                        <wp:extent cx="2680970" cy="2011680"/>
                        <wp:effectExtent l="0" t="0" r="5080" b="7620"/>
                        <wp:docPr id="10" name="图片 10" descr="8f910c7bc8c5a19819efcc5f1090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f910c7bc8c5a19819efcc5f109009c"/>
                                <pic:cNvPicPr>
                                  <a:picLocks noChangeAspect="1"/>
                                </pic:cNvPicPr>
                              </pic:nvPicPr>
                              <pic:blipFill>
                                <a:blip r:embed="rId22"/>
                                <a:stretch>
                                  <a:fillRect/>
                                </a:stretch>
                              </pic:blipFill>
                              <pic:spPr>
                                <a:xfrm>
                                  <a:off x="0" y="0"/>
                                  <a:ext cx="2680970" cy="2011680"/>
                                </a:xfrm>
                                <a:prstGeom prst="rect">
                                  <a:avLst/>
                                </a:prstGeom>
                              </pic:spPr>
                            </pic:pic>
                          </a:graphicData>
                        </a:graphic>
                      </wp:inline>
                    </w:drawing>
                  </w:r>
                </w:p>
              </w:tc>
              <w:tc>
                <w:tcPr>
                  <w:tcW w:w="450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eastAsia="zh-CN"/>
                    </w:rPr>
                  </w:pPr>
                  <w:r>
                    <w:rPr>
                      <w:rFonts w:hint="default" w:ascii="Times New Roman" w:hAnsi="Times New Roman" w:cs="Times New Roman"/>
                      <w:b/>
                      <w:color w:val="auto"/>
                      <w:kern w:val="2"/>
                      <w:szCs w:val="24"/>
                      <w:highlight w:val="none"/>
                    </w:rPr>
                    <w:drawing>
                      <wp:inline distT="0" distB="0" distL="114300" distR="114300">
                        <wp:extent cx="2637155" cy="1978025"/>
                        <wp:effectExtent l="0" t="0" r="10795" b="3175"/>
                        <wp:docPr id="8" name="图片 3" descr="IMG_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5599"/>
                                <pic:cNvPicPr>
                                  <a:picLocks noChangeAspect="1"/>
                                </pic:cNvPicPr>
                              </pic:nvPicPr>
                              <pic:blipFill>
                                <a:blip r:embed="rId23"/>
                                <a:stretch>
                                  <a:fillRect/>
                                </a:stretch>
                              </pic:blipFill>
                              <pic:spPr>
                                <a:xfrm>
                                  <a:off x="0" y="0"/>
                                  <a:ext cx="2637155" cy="1978025"/>
                                </a:xfrm>
                                <a:prstGeom prst="rect">
                                  <a:avLst/>
                                </a:prstGeom>
                                <a:noFill/>
                                <a:ln>
                                  <a:noFill/>
                                </a:ln>
                              </pic:spPr>
                            </pic:pic>
                          </a:graphicData>
                        </a:graphic>
                      </wp:inline>
                    </w:drawing>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一般固废暂存区</w:t>
                  </w:r>
                </w:p>
              </w:tc>
              <w:tc>
                <w:tcPr>
                  <w:tcW w:w="450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喷淋塔围堰</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2163445" cy="3286760"/>
                        <wp:effectExtent l="0" t="0" r="8255" b="8890"/>
                        <wp:docPr id="71" name="图片 71" descr="cb133863f74c02a6c7284c998f19b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b133863f74c02a6c7284c998f19bcc"/>
                                <pic:cNvPicPr>
                                  <a:picLocks noChangeAspect="1"/>
                                </pic:cNvPicPr>
                              </pic:nvPicPr>
                              <pic:blipFill>
                                <a:blip r:embed="rId24"/>
                                <a:srcRect t="9852" b="20033"/>
                                <a:stretch>
                                  <a:fillRect/>
                                </a:stretch>
                              </pic:blipFill>
                              <pic:spPr>
                                <a:xfrm>
                                  <a:off x="0" y="0"/>
                                  <a:ext cx="2163445" cy="3286760"/>
                                </a:xfrm>
                                <a:prstGeom prst="rect">
                                  <a:avLst/>
                                </a:prstGeom>
                              </pic:spPr>
                            </pic:pic>
                          </a:graphicData>
                        </a:graphic>
                      </wp:inline>
                    </w:drawing>
                  </w:r>
                </w:p>
              </w:tc>
              <w:tc>
                <w:tcPr>
                  <w:tcW w:w="4506" w:type="dxa"/>
                  <w:tcBorders>
                    <w:tl2br w:val="nil"/>
                    <w:tr2bl w:val="nil"/>
                  </w:tcBorders>
                  <w:shd w:val="clear" w:color="auto" w:fill="auto"/>
                  <w:vAlign w:val="center"/>
                </w:tcPr>
                <w:p>
                  <w:pPr>
                    <w:pStyle w:val="16"/>
                    <w:ind w:left="0" w:leftChars="0" w:firstLine="0" w:firstLineChars="0"/>
                    <w:jc w:val="center"/>
                    <w:rPr>
                      <w:rFonts w:hint="default" w:ascii="Times New Roman" w:hAnsi="Times New Roman" w:eastAsia="宋体" w:cs="Times New Roman"/>
                      <w:color w:val="auto"/>
                      <w:sz w:val="21"/>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0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应急物资柜</w:t>
                  </w:r>
                </w:p>
              </w:tc>
              <w:tc>
                <w:tcPr>
                  <w:tcW w:w="4506"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p>
              </w:tc>
            </w:tr>
          </w:tbl>
          <w:p>
            <w:pPr>
              <w:pStyle w:val="17"/>
              <w:ind w:left="0" w:firstLine="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现有工程</w:t>
            </w:r>
            <w:r>
              <w:rPr>
                <w:rFonts w:hint="default" w:ascii="Times New Roman" w:hAnsi="Times New Roman" w:cs="Times New Roman"/>
                <w:color w:val="auto"/>
                <w:highlight w:val="none"/>
              </w:rPr>
              <w:t>主要环保设施及厂区现状图</w:t>
            </w:r>
          </w:p>
          <w:p>
            <w:pPr>
              <w:pStyle w:val="16"/>
              <w:rPr>
                <w:rFonts w:hint="default" w:ascii="Times New Roman" w:hAnsi="Times New Roman" w:cs="Times New Roman"/>
                <w:color w:val="auto"/>
                <w:highlight w:val="none"/>
              </w:rPr>
            </w:pP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现有</w:t>
            </w:r>
            <w:r>
              <w:rPr>
                <w:rFonts w:hint="default" w:ascii="Times New Roman" w:hAnsi="Times New Roman" w:cs="Times New Roman"/>
                <w:color w:val="auto"/>
                <w:highlight w:val="none"/>
              </w:rPr>
              <w:t>工程污染物产排情况汇总</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现有</w:t>
            </w:r>
            <w:r>
              <w:rPr>
                <w:rFonts w:hint="default" w:ascii="Times New Roman" w:hAnsi="Times New Roman" w:cs="Times New Roman"/>
                <w:color w:val="auto"/>
                <w:highlight w:val="none"/>
              </w:rPr>
              <w:t>工程污染物产排情况见下表。</w:t>
            </w:r>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现有</w:t>
            </w:r>
            <w:r>
              <w:rPr>
                <w:rFonts w:hint="default" w:ascii="Times New Roman" w:hAnsi="Times New Roman" w:eastAsia="宋体" w:cs="Times New Roman"/>
                <w:color w:val="auto"/>
                <w:highlight w:val="none"/>
                <w:lang w:val="en-US" w:eastAsia="zh-CN"/>
              </w:rPr>
              <w:t>工程</w:t>
            </w:r>
            <w:r>
              <w:rPr>
                <w:rFonts w:hint="default" w:ascii="Times New Roman" w:hAnsi="Times New Roman" w:cs="Times New Roman"/>
                <w:color w:val="auto"/>
                <w:highlight w:val="none"/>
              </w:rPr>
              <w:t>污染物排放情况汇总</w:t>
            </w:r>
          </w:p>
          <w:tbl>
            <w:tblPr>
              <w:tblStyle w:val="11"/>
              <w:tblW w:w="9007"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30"/>
              <w:gridCol w:w="1400"/>
              <w:gridCol w:w="2250"/>
              <w:gridCol w:w="950"/>
              <w:gridCol w:w="1683"/>
              <w:gridCol w:w="179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4580" w:type="dxa"/>
                  <w:gridSpan w:val="3"/>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主要污染物</w:t>
                  </w:r>
                </w:p>
              </w:tc>
              <w:tc>
                <w:tcPr>
                  <w:tcW w:w="950"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单位</w:t>
                  </w:r>
                </w:p>
              </w:tc>
              <w:tc>
                <w:tcPr>
                  <w:tcW w:w="1683"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现有工程</w:t>
                  </w:r>
                  <w:r>
                    <w:rPr>
                      <w:rFonts w:hint="default" w:ascii="Times New Roman" w:hAnsi="Times New Roman" w:cs="Times New Roman"/>
                      <w:color w:val="auto"/>
                      <w:highlight w:val="none"/>
                    </w:rPr>
                    <w:t>产生量</w:t>
                  </w:r>
                </w:p>
              </w:tc>
              <w:tc>
                <w:tcPr>
                  <w:tcW w:w="1794"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现有工程</w:t>
                  </w:r>
                  <w:r>
                    <w:rPr>
                      <w:rFonts w:hint="default" w:ascii="Times New Roman" w:hAnsi="Times New Roman" w:cs="Times New Roman"/>
                      <w:color w:val="auto"/>
                      <w:highlight w:val="none"/>
                    </w:rPr>
                    <w:t>排放量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dxa"/>
                  <w:vMerge w:val="restart"/>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废气</w:t>
                  </w:r>
                </w:p>
              </w:tc>
              <w:tc>
                <w:tcPr>
                  <w:tcW w:w="3650" w:type="dxa"/>
                  <w:gridSpan w:val="2"/>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苯</w:t>
                  </w:r>
                </w:p>
              </w:tc>
              <w:tc>
                <w:tcPr>
                  <w:tcW w:w="950"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t/a</w:t>
                  </w:r>
                </w:p>
              </w:tc>
              <w:tc>
                <w:tcPr>
                  <w:tcW w:w="1683"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Cs w:val="22"/>
                      <w:highlight w:val="none"/>
                      <w:lang w:val="en-US" w:eastAsia="zh-CN"/>
                    </w:rPr>
                  </w:pPr>
                  <w:r>
                    <w:rPr>
                      <w:rFonts w:hint="default" w:ascii="Times New Roman" w:hAnsi="Times New Roman" w:cs="Times New Roman"/>
                      <w:color w:val="auto"/>
                      <w:highlight w:val="none"/>
                      <w:lang w:val="en-US" w:eastAsia="zh-CN"/>
                    </w:rPr>
                    <w:t xml:space="preserve">0.0436 </w:t>
                  </w:r>
                </w:p>
              </w:tc>
              <w:tc>
                <w:tcPr>
                  <w:tcW w:w="1794"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0.0051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3650" w:type="dxa"/>
                  <w:gridSpan w:val="2"/>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甲苯</w:t>
                  </w:r>
                </w:p>
              </w:tc>
              <w:tc>
                <w:tcPr>
                  <w:tcW w:w="950"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t/a</w:t>
                  </w:r>
                </w:p>
              </w:tc>
              <w:tc>
                <w:tcPr>
                  <w:tcW w:w="1683"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Cs w:val="22"/>
                      <w:highlight w:val="none"/>
                      <w:lang w:val="en-US" w:eastAsia="zh-CN"/>
                    </w:rPr>
                  </w:pPr>
                  <w:r>
                    <w:rPr>
                      <w:rFonts w:hint="default" w:ascii="Times New Roman" w:hAnsi="Times New Roman" w:cs="Times New Roman"/>
                      <w:color w:val="auto"/>
                      <w:highlight w:val="none"/>
                      <w:lang w:val="en-US" w:eastAsia="zh-CN"/>
                    </w:rPr>
                    <w:t xml:space="preserve">0.1809 </w:t>
                  </w:r>
                </w:p>
              </w:tc>
              <w:tc>
                <w:tcPr>
                  <w:tcW w:w="1794"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0.0920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3650" w:type="dxa"/>
                  <w:gridSpan w:val="2"/>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二甲苯</w:t>
                  </w:r>
                </w:p>
              </w:tc>
              <w:tc>
                <w:tcPr>
                  <w:tcW w:w="950"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t/a</w:t>
                  </w:r>
                </w:p>
              </w:tc>
              <w:tc>
                <w:tcPr>
                  <w:tcW w:w="1683"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Cs w:val="22"/>
                      <w:highlight w:val="none"/>
                      <w:lang w:val="en-US" w:eastAsia="zh-CN"/>
                    </w:rPr>
                  </w:pPr>
                  <w:r>
                    <w:rPr>
                      <w:rFonts w:hint="default" w:ascii="Times New Roman" w:hAnsi="Times New Roman" w:cs="Times New Roman"/>
                      <w:color w:val="auto"/>
                      <w:highlight w:val="none"/>
                      <w:lang w:val="en-US" w:eastAsia="zh-CN"/>
                    </w:rPr>
                    <w:t xml:space="preserve">0.3429 </w:t>
                  </w:r>
                </w:p>
              </w:tc>
              <w:tc>
                <w:tcPr>
                  <w:tcW w:w="1794"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0.0791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3650" w:type="dxa"/>
                  <w:gridSpan w:val="2"/>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非甲烷总烃</w:t>
                  </w:r>
                </w:p>
              </w:tc>
              <w:tc>
                <w:tcPr>
                  <w:tcW w:w="950"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t/a</w:t>
                  </w:r>
                </w:p>
              </w:tc>
              <w:tc>
                <w:tcPr>
                  <w:tcW w:w="1683"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Cs w:val="22"/>
                      <w:highlight w:val="none"/>
                      <w:lang w:val="en-US" w:eastAsia="zh-CN"/>
                    </w:rPr>
                  </w:pPr>
                  <w:r>
                    <w:rPr>
                      <w:rFonts w:hint="default" w:ascii="Times New Roman" w:hAnsi="Times New Roman" w:cs="Times New Roman"/>
                      <w:color w:val="auto"/>
                      <w:highlight w:val="none"/>
                      <w:lang w:val="en-US" w:eastAsia="zh-CN"/>
                    </w:rPr>
                    <w:t xml:space="preserve">88.2158 </w:t>
                  </w:r>
                </w:p>
              </w:tc>
              <w:tc>
                <w:tcPr>
                  <w:tcW w:w="1794"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24.2312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3650" w:type="dxa"/>
                  <w:gridSpan w:val="2"/>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DMF</w:t>
                  </w:r>
                </w:p>
              </w:tc>
              <w:tc>
                <w:tcPr>
                  <w:tcW w:w="950"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t/a</w:t>
                  </w:r>
                </w:p>
              </w:tc>
              <w:tc>
                <w:tcPr>
                  <w:tcW w:w="1683"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Cs w:val="22"/>
                      <w:highlight w:val="none"/>
                      <w:lang w:val="en-US" w:eastAsia="zh-CN"/>
                    </w:rPr>
                  </w:pPr>
                  <w:r>
                    <w:rPr>
                      <w:rFonts w:hint="default" w:ascii="Times New Roman" w:hAnsi="Times New Roman" w:cs="Times New Roman"/>
                      <w:color w:val="auto"/>
                      <w:highlight w:val="none"/>
                      <w:lang w:val="en-US" w:eastAsia="zh-CN"/>
                    </w:rPr>
                    <w:t xml:space="preserve">33.6903 </w:t>
                  </w:r>
                </w:p>
              </w:tc>
              <w:tc>
                <w:tcPr>
                  <w:tcW w:w="1794"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szCs w:val="22"/>
                      <w:highlight w:val="none"/>
                      <w:lang w:val="en-US" w:eastAsia="zh-CN"/>
                    </w:rPr>
                  </w:pPr>
                  <w:r>
                    <w:rPr>
                      <w:rFonts w:hint="default" w:ascii="Times New Roman" w:hAnsi="Times New Roman" w:cs="Times New Roman"/>
                      <w:color w:val="auto"/>
                      <w:szCs w:val="22"/>
                      <w:highlight w:val="none"/>
                      <w:lang w:val="en-US" w:eastAsia="zh-CN"/>
                    </w:rPr>
                    <w:t>7.6178</w:t>
                  </w:r>
                  <w:r>
                    <w:rPr>
                      <w:rFonts w:hint="default" w:ascii="Times New Roman" w:hAnsi="Times New Roman" w:eastAsia="宋体" w:cs="Times New Roman"/>
                      <w:color w:val="auto"/>
                      <w:szCs w:val="22"/>
                      <w:highlight w:val="none"/>
                      <w:lang w:val="en-US" w:eastAsia="zh-CN"/>
                    </w:rPr>
                    <w:t xml:space="preserve">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dxa"/>
                  <w:vMerge w:val="restart"/>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生活污水</w:t>
                  </w:r>
                </w:p>
              </w:tc>
              <w:tc>
                <w:tcPr>
                  <w:tcW w:w="3650" w:type="dxa"/>
                  <w:gridSpan w:val="2"/>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废水量</w:t>
                  </w:r>
                </w:p>
              </w:tc>
              <w:tc>
                <w:tcPr>
                  <w:tcW w:w="950"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t/a</w:t>
                  </w:r>
                </w:p>
              </w:tc>
              <w:tc>
                <w:tcPr>
                  <w:tcW w:w="1683" w:type="dxa"/>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3888</w:t>
                  </w:r>
                </w:p>
              </w:tc>
              <w:tc>
                <w:tcPr>
                  <w:tcW w:w="1794"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3888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3650" w:type="dxa"/>
                  <w:gridSpan w:val="2"/>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CODcr</w:t>
                  </w:r>
                </w:p>
              </w:tc>
              <w:tc>
                <w:tcPr>
                  <w:tcW w:w="950"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t/a</w:t>
                  </w:r>
                </w:p>
              </w:tc>
              <w:tc>
                <w:tcPr>
                  <w:tcW w:w="1683"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1.56</w:t>
                  </w:r>
                </w:p>
              </w:tc>
              <w:tc>
                <w:tcPr>
                  <w:tcW w:w="1794"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1.56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3650" w:type="dxa"/>
                  <w:gridSpan w:val="2"/>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w:t>
                  </w:r>
                </w:p>
              </w:tc>
              <w:tc>
                <w:tcPr>
                  <w:tcW w:w="950"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t/a</w:t>
                  </w:r>
                </w:p>
              </w:tc>
              <w:tc>
                <w:tcPr>
                  <w:tcW w:w="1683"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0.97</w:t>
                  </w:r>
                </w:p>
              </w:tc>
              <w:tc>
                <w:tcPr>
                  <w:tcW w:w="1794"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0.97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3650" w:type="dxa"/>
                  <w:gridSpan w:val="2"/>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SS</w:t>
                  </w:r>
                </w:p>
              </w:tc>
              <w:tc>
                <w:tcPr>
                  <w:tcW w:w="950"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t/a</w:t>
                  </w:r>
                </w:p>
              </w:tc>
              <w:tc>
                <w:tcPr>
                  <w:tcW w:w="1683"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0.136</w:t>
                  </w:r>
                </w:p>
              </w:tc>
              <w:tc>
                <w:tcPr>
                  <w:tcW w:w="1794"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0.136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dxa"/>
                  <w:vMerge w:val="restart"/>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固废</w:t>
                  </w:r>
                </w:p>
              </w:tc>
              <w:tc>
                <w:tcPr>
                  <w:tcW w:w="1400" w:type="dxa"/>
                  <w:vMerge w:val="restart"/>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一般工业固废</w:t>
                  </w:r>
                </w:p>
              </w:tc>
              <w:tc>
                <w:tcPr>
                  <w:tcW w:w="2250" w:type="dxa"/>
                  <w:tcBorders>
                    <w:tl2br w:val="nil"/>
                    <w:tr2bl w:val="nil"/>
                  </w:tcBorders>
                  <w:shd w:val="clear" w:color="auto" w:fill="auto"/>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kern w:val="2"/>
                      <w:sz w:val="21"/>
                      <w:szCs w:val="21"/>
                      <w:highlight w:val="none"/>
                    </w:rPr>
                    <w:t>皮革边角料</w:t>
                  </w:r>
                </w:p>
              </w:tc>
              <w:tc>
                <w:tcPr>
                  <w:tcW w:w="950"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t/a</w:t>
                  </w:r>
                </w:p>
              </w:tc>
              <w:tc>
                <w:tcPr>
                  <w:tcW w:w="1683"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kern w:val="2"/>
                      <w:sz w:val="21"/>
                      <w:szCs w:val="21"/>
                      <w:highlight w:val="none"/>
                    </w:rPr>
                    <w:t>25</w:t>
                  </w:r>
                </w:p>
              </w:tc>
              <w:tc>
                <w:tcPr>
                  <w:tcW w:w="1794"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400"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2250" w:type="dxa"/>
                  <w:tcBorders>
                    <w:tl2br w:val="nil"/>
                    <w:tr2bl w:val="nil"/>
                  </w:tcBorders>
                  <w:shd w:val="clear" w:color="auto" w:fill="auto"/>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kern w:val="2"/>
                      <w:sz w:val="21"/>
                      <w:szCs w:val="21"/>
                      <w:highlight w:val="none"/>
                    </w:rPr>
                    <w:t>废包装材料</w:t>
                  </w:r>
                </w:p>
              </w:tc>
              <w:tc>
                <w:tcPr>
                  <w:tcW w:w="9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t/a</w:t>
                  </w:r>
                </w:p>
              </w:tc>
              <w:tc>
                <w:tcPr>
                  <w:tcW w:w="1683" w:type="dxa"/>
                  <w:tcBorders>
                    <w:tl2br w:val="nil"/>
                    <w:tr2bl w:val="nil"/>
                  </w:tcBorders>
                  <w:shd w:val="clear" w:color="auto" w:fill="auto"/>
                  <w:vAlign w:val="center"/>
                </w:tcPr>
                <w:p>
                  <w:pPr>
                    <w:adjustRightInd w:val="0"/>
                    <w:snapToGrid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kern w:val="2"/>
                      <w:sz w:val="21"/>
                      <w:szCs w:val="21"/>
                      <w:highlight w:val="none"/>
                    </w:rPr>
                    <w:t>2</w:t>
                  </w:r>
                </w:p>
              </w:tc>
              <w:tc>
                <w:tcPr>
                  <w:tcW w:w="1794" w:type="dxa"/>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400" w:type="dxa"/>
                  <w:vMerge w:val="restart"/>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危险废物</w:t>
                  </w:r>
                </w:p>
              </w:tc>
              <w:tc>
                <w:tcPr>
                  <w:tcW w:w="2250" w:type="dxa"/>
                  <w:tcBorders>
                    <w:tl2br w:val="nil"/>
                    <w:tr2bl w:val="nil"/>
                  </w:tcBorders>
                  <w:shd w:val="clear" w:color="auto" w:fill="auto"/>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kern w:val="2"/>
                      <w:sz w:val="21"/>
                      <w:szCs w:val="21"/>
                      <w:highlight w:val="none"/>
                    </w:rPr>
                    <w:t>擦拭布等废弃沾染物</w:t>
                  </w:r>
                </w:p>
              </w:tc>
              <w:tc>
                <w:tcPr>
                  <w:tcW w:w="9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t/a</w:t>
                  </w:r>
                </w:p>
              </w:tc>
              <w:tc>
                <w:tcPr>
                  <w:tcW w:w="1683" w:type="dxa"/>
                  <w:tcBorders>
                    <w:tl2br w:val="nil"/>
                    <w:tr2bl w:val="nil"/>
                  </w:tcBorders>
                  <w:shd w:val="clear" w:color="auto" w:fill="auto"/>
                  <w:vAlign w:val="center"/>
                </w:tcPr>
                <w:p>
                  <w:pPr>
                    <w:adjustRightInd w:val="0"/>
                    <w:snapToGrid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kern w:val="2"/>
                      <w:sz w:val="21"/>
                      <w:szCs w:val="21"/>
                      <w:highlight w:val="none"/>
                    </w:rPr>
                    <w:t>0.5</w:t>
                  </w:r>
                </w:p>
              </w:tc>
              <w:tc>
                <w:tcPr>
                  <w:tcW w:w="1794"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400"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2250" w:type="dxa"/>
                  <w:tcBorders>
                    <w:tl2br w:val="nil"/>
                    <w:tr2bl w:val="nil"/>
                  </w:tcBorders>
                  <w:shd w:val="clear" w:color="auto" w:fill="auto"/>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kern w:val="2"/>
                      <w:sz w:val="21"/>
                      <w:szCs w:val="21"/>
                      <w:highlight w:val="none"/>
                    </w:rPr>
                    <w:t>洗</w:t>
                  </w:r>
                  <w:r>
                    <w:rPr>
                      <w:rFonts w:hint="default" w:ascii="Times New Roman" w:hAnsi="Times New Roman" w:cs="Times New Roman"/>
                      <w:color w:val="auto"/>
                      <w:kern w:val="2"/>
                      <w:sz w:val="21"/>
                      <w:szCs w:val="21"/>
                      <w:highlight w:val="none"/>
                      <w:lang w:val="en-US" w:eastAsia="zh-CN"/>
                    </w:rPr>
                    <w:t>桶</w:t>
                  </w:r>
                  <w:r>
                    <w:rPr>
                      <w:rFonts w:hint="default" w:ascii="Times New Roman" w:hAnsi="Times New Roman" w:cs="Times New Roman"/>
                      <w:color w:val="auto"/>
                      <w:kern w:val="2"/>
                      <w:sz w:val="21"/>
                      <w:szCs w:val="21"/>
                      <w:highlight w:val="none"/>
                    </w:rPr>
                    <w:t>残渣</w:t>
                  </w:r>
                </w:p>
              </w:tc>
              <w:tc>
                <w:tcPr>
                  <w:tcW w:w="9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t/a</w:t>
                  </w:r>
                </w:p>
              </w:tc>
              <w:tc>
                <w:tcPr>
                  <w:tcW w:w="1683" w:type="dxa"/>
                  <w:tcBorders>
                    <w:tl2br w:val="nil"/>
                    <w:tr2bl w:val="nil"/>
                  </w:tcBorders>
                  <w:shd w:val="clear" w:color="auto" w:fill="auto"/>
                  <w:vAlign w:val="center"/>
                </w:tcPr>
                <w:p>
                  <w:pPr>
                    <w:adjustRightInd w:val="0"/>
                    <w:snapToGrid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kern w:val="2"/>
                      <w:sz w:val="21"/>
                      <w:szCs w:val="21"/>
                      <w:highlight w:val="none"/>
                    </w:rPr>
                    <w:t>0.2</w:t>
                  </w:r>
                </w:p>
              </w:tc>
              <w:tc>
                <w:tcPr>
                  <w:tcW w:w="1794"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400"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2250" w:type="dxa"/>
                  <w:tcBorders>
                    <w:tl2br w:val="nil"/>
                    <w:tr2bl w:val="nil"/>
                  </w:tcBorders>
                  <w:shd w:val="clear" w:color="auto" w:fill="auto"/>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kern w:val="2"/>
                      <w:sz w:val="21"/>
                      <w:szCs w:val="21"/>
                      <w:highlight w:val="none"/>
                    </w:rPr>
                    <w:t>化学品废包装容器</w:t>
                  </w:r>
                </w:p>
              </w:tc>
              <w:tc>
                <w:tcPr>
                  <w:tcW w:w="9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t/a</w:t>
                  </w:r>
                </w:p>
              </w:tc>
              <w:tc>
                <w:tcPr>
                  <w:tcW w:w="1683" w:type="dxa"/>
                  <w:tcBorders>
                    <w:tl2br w:val="nil"/>
                    <w:tr2bl w:val="nil"/>
                  </w:tcBorders>
                  <w:shd w:val="clear" w:color="auto" w:fill="auto"/>
                  <w:vAlign w:val="center"/>
                </w:tcPr>
                <w:p>
                  <w:pPr>
                    <w:adjustRightInd w:val="0"/>
                    <w:snapToGrid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kern w:val="2"/>
                      <w:sz w:val="21"/>
                      <w:szCs w:val="21"/>
                      <w:highlight w:val="none"/>
                    </w:rPr>
                    <w:t>1</w:t>
                  </w:r>
                </w:p>
              </w:tc>
              <w:tc>
                <w:tcPr>
                  <w:tcW w:w="1794"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400"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2250" w:type="dxa"/>
                  <w:tcBorders>
                    <w:tl2br w:val="nil"/>
                    <w:tr2bl w:val="nil"/>
                  </w:tcBorders>
                  <w:shd w:val="clear" w:color="auto" w:fill="auto"/>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kern w:val="2"/>
                      <w:sz w:val="21"/>
                      <w:szCs w:val="21"/>
                      <w:highlight w:val="none"/>
                    </w:rPr>
                    <w:t>废机油</w:t>
                  </w:r>
                </w:p>
              </w:tc>
              <w:tc>
                <w:tcPr>
                  <w:tcW w:w="9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t/a</w:t>
                  </w:r>
                </w:p>
              </w:tc>
              <w:tc>
                <w:tcPr>
                  <w:tcW w:w="1683" w:type="dxa"/>
                  <w:tcBorders>
                    <w:tl2br w:val="nil"/>
                    <w:tr2bl w:val="nil"/>
                  </w:tcBorders>
                  <w:shd w:val="clear" w:color="auto" w:fill="auto"/>
                  <w:vAlign w:val="center"/>
                </w:tcPr>
                <w:p>
                  <w:pPr>
                    <w:adjustRightInd w:val="0"/>
                    <w:snapToGrid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kern w:val="2"/>
                      <w:sz w:val="21"/>
                      <w:szCs w:val="21"/>
                      <w:highlight w:val="none"/>
                    </w:rPr>
                    <w:t>0.1</w:t>
                  </w:r>
                </w:p>
              </w:tc>
              <w:tc>
                <w:tcPr>
                  <w:tcW w:w="1794"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1400"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2250" w:type="dxa"/>
                  <w:tcBorders>
                    <w:tl2br w:val="nil"/>
                    <w:tr2bl w:val="nil"/>
                  </w:tcBorders>
                  <w:shd w:val="clear" w:color="auto" w:fill="auto"/>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kern w:val="2"/>
                      <w:sz w:val="21"/>
                      <w:szCs w:val="21"/>
                      <w:highlight w:val="none"/>
                      <w:lang w:val="en-US" w:eastAsia="zh-CN"/>
                    </w:rPr>
                    <w:t>DMF废液</w:t>
                  </w:r>
                </w:p>
              </w:tc>
              <w:tc>
                <w:tcPr>
                  <w:tcW w:w="95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t/a</w:t>
                  </w:r>
                </w:p>
              </w:tc>
              <w:tc>
                <w:tcPr>
                  <w:tcW w:w="1683" w:type="dxa"/>
                  <w:tcBorders>
                    <w:tl2br w:val="nil"/>
                    <w:tr2bl w:val="nil"/>
                  </w:tcBorders>
                  <w:shd w:val="clear" w:color="auto" w:fill="auto"/>
                  <w:vAlign w:val="center"/>
                </w:tcPr>
                <w:p>
                  <w:pPr>
                    <w:adjustRightInd w:val="0"/>
                    <w:snapToGrid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kern w:val="2"/>
                      <w:sz w:val="21"/>
                      <w:szCs w:val="21"/>
                      <w:highlight w:val="none"/>
                      <w:lang w:val="en-US" w:eastAsia="zh-CN"/>
                    </w:rPr>
                    <w:t>8251.2</w:t>
                  </w:r>
                </w:p>
              </w:tc>
              <w:tc>
                <w:tcPr>
                  <w:tcW w:w="1794"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3650" w:type="dxa"/>
                  <w:gridSpan w:val="2"/>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生活垃圾</w:t>
                  </w:r>
                </w:p>
              </w:tc>
              <w:tc>
                <w:tcPr>
                  <w:tcW w:w="950"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t/a</w:t>
                  </w:r>
                </w:p>
              </w:tc>
              <w:tc>
                <w:tcPr>
                  <w:tcW w:w="1683" w:type="dxa"/>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18</w:t>
                  </w:r>
                </w:p>
              </w:tc>
              <w:tc>
                <w:tcPr>
                  <w:tcW w:w="1794"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r>
          </w:tbl>
          <w:p>
            <w:pPr>
              <w:pStyle w:val="5"/>
              <w:bidi w:val="0"/>
              <w:spacing w:line="240" w:lineRule="auto"/>
              <w:rPr>
                <w:rFonts w:hint="default" w:ascii="Times New Roman" w:hAnsi="Times New Roman" w:cs="Times New Roman"/>
                <w:color w:val="auto"/>
                <w:highlight w:val="none"/>
              </w:rPr>
            </w:pPr>
          </w:p>
          <w:p>
            <w:pPr>
              <w:pStyle w:val="2"/>
              <w:numPr>
                <w:ilvl w:val="1"/>
                <w:numId w:val="6"/>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现有工程</w:t>
            </w:r>
            <w:r>
              <w:rPr>
                <w:rFonts w:hint="default" w:ascii="Times New Roman" w:hAnsi="Times New Roman" w:cs="Times New Roman"/>
                <w:color w:val="auto"/>
                <w:highlight w:val="none"/>
              </w:rPr>
              <w:t>存在的环境问题及整改</w:t>
            </w:r>
            <w:r>
              <w:rPr>
                <w:rFonts w:hint="default" w:ascii="Times New Roman" w:hAnsi="Times New Roman" w:eastAsia="宋体" w:cs="Times New Roman"/>
                <w:color w:val="auto"/>
                <w:highlight w:val="none"/>
              </w:rPr>
              <w:t>措施</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现有工程</w:t>
            </w:r>
            <w:r>
              <w:rPr>
                <w:rFonts w:hint="default" w:ascii="Times New Roman" w:hAnsi="Times New Roman" w:cs="Times New Roman"/>
                <w:color w:val="auto"/>
                <w:highlight w:val="none"/>
              </w:rPr>
              <w:t>主要存在的环境问题及拟整改措施见表</w:t>
            </w:r>
            <w:r>
              <w:rPr>
                <w:rFonts w:hint="default" w:ascii="Times New Roman" w:hAnsi="Times New Roman" w:cs="Times New Roman"/>
                <w:color w:val="auto"/>
                <w:highlight w:val="none"/>
                <w:lang w:val="en-US" w:eastAsia="zh-CN"/>
              </w:rPr>
              <w:t>23</w:t>
            </w:r>
            <w:r>
              <w:rPr>
                <w:rFonts w:hint="default" w:ascii="Times New Roman" w:hAnsi="Times New Roman" w:cs="Times New Roman"/>
                <w:color w:val="auto"/>
                <w:highlight w:val="none"/>
              </w:rPr>
              <w:t>。</w:t>
            </w:r>
          </w:p>
          <w:p>
            <w:pPr>
              <w:pStyle w:val="2"/>
              <w:numPr>
                <w:ilvl w:val="1"/>
                <w:numId w:val="6"/>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实施“以新带老”措施后现有工程污染源核算</w:t>
            </w:r>
          </w:p>
          <w:p>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废气污染源核算</w:t>
            </w:r>
          </w:p>
          <w:p>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①配料间废气</w:t>
            </w:r>
          </w:p>
          <w:p>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现状配料间已针对滚涂线树脂配料区设置了密闭空间，配料桶上方设置移动集气罩进行收集；但存在着料桶未全部安装密封盖、贝斯涂面配料区域未集中密闭等问题。“以新带老”工程对现有工程的配料间提出密闭改造措施，配料间封闭、集气净化，除物料和员工出入口外不得设置其它可开启的门、窗，其通风换气量应符合《采暖通风与空气调节设计规范》，盛放含挥发性有机物料的容器全部安装密封盖，不能密封的也全部加装活动盖和集气罩。根据《福鼎市温州园文渡工业集中区总体规划（调整）环境影响报告书》中对提高挥发性有机物排放类项目建设要求：新、改、扩建项目排放挥发性有机物的车间有机废气的收集率应大于 90%，因此改造后配料间有机废气的收集率从80%提高至90%以上，减少了无组织的逸散量。结合表15现有工程废气产排情况进行核算，改造后废气排放情况见表21。</w:t>
            </w:r>
          </w:p>
          <w:p>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②DMF储罐呼吸废气</w:t>
            </w:r>
          </w:p>
          <w:p>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本次项目属于“以新带老”工程，项目建成后DMF储罐的储存量增加，其转运频次增加，储罐呼吸和装卸时的损耗将增大。</w:t>
            </w:r>
          </w:p>
          <w:p>
            <w:pPr>
              <w:pStyle w:val="5"/>
              <w:bidi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A.大呼吸</w:t>
            </w:r>
          </w:p>
          <w:p>
            <w:pPr>
              <w:pStyle w:val="5"/>
              <w:bidi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当储罐进卸料作业时，液面升降导致气体空间变化，形成DMF从呼吸阀中呼出。本评价参照固定顶罐大呼吸蒸汽损耗量计算如下：</w:t>
            </w:r>
          </w:p>
          <w:p>
            <w:pPr>
              <w:spacing w:line="36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L</w:t>
            </w:r>
            <w:r>
              <w:rPr>
                <w:rFonts w:hint="default" w:ascii="Times New Roman" w:hAnsi="Times New Roman" w:cs="Times New Roman"/>
                <w:color w:val="auto"/>
                <w:sz w:val="24"/>
                <w:szCs w:val="24"/>
                <w:highlight w:val="none"/>
                <w:vertAlign w:val="subscript"/>
              </w:rPr>
              <w:t>W</w:t>
            </w:r>
            <w:r>
              <w:rPr>
                <w:rFonts w:hint="default" w:ascii="Times New Roman" w:hAnsi="Times New Roman" w:cs="Times New Roman"/>
                <w:color w:val="auto"/>
                <w:sz w:val="24"/>
                <w:szCs w:val="24"/>
                <w:highlight w:val="none"/>
              </w:rPr>
              <w:t>=4.188×10</w:t>
            </w:r>
            <w:r>
              <w:rPr>
                <w:rFonts w:hint="default" w:ascii="Times New Roman" w:hAnsi="Times New Roman" w:cs="Times New Roman"/>
                <w:color w:val="auto"/>
                <w:sz w:val="24"/>
                <w:szCs w:val="24"/>
                <w:highlight w:val="none"/>
                <w:vertAlign w:val="superscript"/>
              </w:rPr>
              <w:t>-7</w:t>
            </w:r>
            <w:r>
              <w:rPr>
                <w:rFonts w:hint="default" w:ascii="Times New Roman" w:hAnsi="Times New Roman" w:cs="Times New Roman"/>
                <w:color w:val="auto"/>
                <w:sz w:val="24"/>
                <w:szCs w:val="24"/>
                <w:highlight w:val="none"/>
              </w:rPr>
              <w:t>×M×P×K</w:t>
            </w:r>
            <w:r>
              <w:rPr>
                <w:rFonts w:hint="default" w:ascii="Times New Roman" w:hAnsi="Times New Roman" w:cs="Times New Roman"/>
                <w:color w:val="auto"/>
                <w:sz w:val="24"/>
                <w:szCs w:val="24"/>
                <w:highlight w:val="none"/>
                <w:vertAlign w:val="subscript"/>
              </w:rPr>
              <w:t>N</w:t>
            </w: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C</w:t>
            </w:r>
          </w:p>
          <w:p>
            <w:pPr>
              <w:spacing w:line="360" w:lineRule="auto"/>
              <w:ind w:firstLine="0" w:firstLine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式中：L</w:t>
            </w:r>
            <w:r>
              <w:rPr>
                <w:rFonts w:hint="default" w:ascii="Times New Roman" w:hAnsi="Times New Roman" w:cs="Times New Roman"/>
                <w:color w:val="auto"/>
                <w:sz w:val="24"/>
                <w:szCs w:val="24"/>
                <w:highlight w:val="none"/>
                <w:vertAlign w:val="subscript"/>
              </w:rPr>
              <w:t>W</w:t>
            </w:r>
            <w:r>
              <w:rPr>
                <w:rFonts w:hint="default" w:ascii="Times New Roman" w:hAnsi="Times New Roman" w:cs="Times New Roman"/>
                <w:color w:val="auto"/>
                <w:sz w:val="24"/>
                <w:szCs w:val="24"/>
                <w:highlight w:val="none"/>
              </w:rPr>
              <w:t>—固定顶罐的工作损失（Kg/</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rPr>
              <w:t>）</w:t>
            </w:r>
          </w:p>
          <w:p>
            <w:pPr>
              <w:spacing w:line="360" w:lineRule="auto"/>
              <w:ind w:firstLineChars="3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N</w:t>
            </w:r>
            <w:r>
              <w:rPr>
                <w:rFonts w:hint="default" w:ascii="Times New Roman" w:hAnsi="Times New Roman" w:cs="Times New Roman"/>
                <w:color w:val="auto"/>
                <w:sz w:val="24"/>
                <w:szCs w:val="24"/>
                <w:highlight w:val="none"/>
              </w:rPr>
              <w:t>—周转因子（无量纲），取值按年周转次数（K）确定。</w:t>
            </w:r>
          </w:p>
          <w:p>
            <w:pPr>
              <w:spacing w:line="36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K≤36时，K</w:t>
            </w:r>
            <w:r>
              <w:rPr>
                <w:rFonts w:hint="default" w:ascii="Times New Roman" w:hAnsi="Times New Roman" w:cs="Times New Roman"/>
                <w:color w:val="auto"/>
                <w:sz w:val="24"/>
                <w:szCs w:val="24"/>
                <w:highlight w:val="none"/>
                <w:vertAlign w:val="subscript"/>
              </w:rPr>
              <w:t>N</w:t>
            </w:r>
            <w:r>
              <w:rPr>
                <w:rFonts w:hint="default" w:ascii="Times New Roman" w:hAnsi="Times New Roman" w:cs="Times New Roman"/>
                <w:color w:val="auto"/>
                <w:sz w:val="24"/>
                <w:szCs w:val="24"/>
                <w:highlight w:val="none"/>
              </w:rPr>
              <w:t>=1；</w:t>
            </w:r>
          </w:p>
          <w:p>
            <w:pPr>
              <w:spacing w:line="36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36＜K≤220时，K</w:t>
            </w:r>
            <w:r>
              <w:rPr>
                <w:rFonts w:hint="default" w:ascii="Times New Roman" w:hAnsi="Times New Roman" w:cs="Times New Roman"/>
                <w:color w:val="auto"/>
                <w:sz w:val="24"/>
                <w:szCs w:val="24"/>
                <w:highlight w:val="none"/>
                <w:vertAlign w:val="subscript"/>
              </w:rPr>
              <w:t>N</w:t>
            </w:r>
            <w:r>
              <w:rPr>
                <w:rFonts w:hint="default" w:ascii="Times New Roman" w:hAnsi="Times New Roman" w:cs="Times New Roman"/>
                <w:color w:val="auto"/>
                <w:sz w:val="24"/>
                <w:szCs w:val="24"/>
                <w:highlight w:val="none"/>
              </w:rPr>
              <w:t>=11.467×K</w:t>
            </w:r>
            <w:r>
              <w:rPr>
                <w:rFonts w:hint="default" w:ascii="Times New Roman" w:hAnsi="Times New Roman" w:cs="Times New Roman"/>
                <w:color w:val="auto"/>
                <w:sz w:val="24"/>
                <w:szCs w:val="24"/>
                <w:highlight w:val="none"/>
                <w:vertAlign w:val="superscript"/>
              </w:rPr>
              <w:t>-0.7026</w:t>
            </w:r>
            <w:r>
              <w:rPr>
                <w:rFonts w:hint="default" w:ascii="Times New Roman" w:hAnsi="Times New Roman" w:cs="Times New Roman"/>
                <w:color w:val="auto"/>
                <w:sz w:val="24"/>
                <w:szCs w:val="24"/>
                <w:highlight w:val="none"/>
              </w:rPr>
              <w:t>；</w:t>
            </w:r>
          </w:p>
          <w:p>
            <w:pPr>
              <w:spacing w:line="36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K＞220时，K</w:t>
            </w:r>
            <w:r>
              <w:rPr>
                <w:rFonts w:hint="default" w:ascii="Times New Roman" w:hAnsi="Times New Roman" w:cs="Times New Roman"/>
                <w:color w:val="auto"/>
                <w:sz w:val="24"/>
                <w:szCs w:val="24"/>
                <w:highlight w:val="none"/>
                <w:vertAlign w:val="subscript"/>
              </w:rPr>
              <w:t>N</w:t>
            </w:r>
            <w:r>
              <w:rPr>
                <w:rFonts w:hint="default" w:ascii="Times New Roman" w:hAnsi="Times New Roman" w:cs="Times New Roman"/>
                <w:color w:val="auto"/>
                <w:sz w:val="24"/>
                <w:szCs w:val="24"/>
                <w:highlight w:val="none"/>
              </w:rPr>
              <w:t>=0.26。</w:t>
            </w:r>
          </w:p>
          <w:p>
            <w:pPr>
              <w:spacing w:line="360" w:lineRule="auto"/>
              <w:ind w:firstLineChars="3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M：储罐内蒸汽分子量；</w:t>
            </w:r>
          </w:p>
          <w:p>
            <w:pPr>
              <w:spacing w:line="360" w:lineRule="auto"/>
              <w:ind w:firstLineChars="3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P：罐内液体的真实蒸汽压，</w:t>
            </w:r>
            <w:r>
              <w:rPr>
                <w:rFonts w:hint="default" w:ascii="Times New Roman" w:hAnsi="Times New Roman" w:cs="Times New Roman"/>
                <w:color w:val="auto"/>
                <w:sz w:val="24"/>
                <w:szCs w:val="24"/>
                <w:highlight w:val="none"/>
                <w:lang w:val="en-US" w:eastAsia="zh-CN"/>
              </w:rPr>
              <w:t>490</w:t>
            </w:r>
            <w:r>
              <w:rPr>
                <w:rFonts w:hint="default" w:ascii="Times New Roman" w:hAnsi="Times New Roman" w:cs="Times New Roman"/>
                <w:color w:val="auto"/>
                <w:sz w:val="24"/>
                <w:szCs w:val="24"/>
                <w:highlight w:val="none"/>
              </w:rPr>
              <w:t>Pa；</w:t>
            </w:r>
          </w:p>
          <w:p>
            <w:pPr>
              <w:spacing w:line="360" w:lineRule="auto"/>
              <w:ind w:firstLineChars="3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K</w:t>
            </w:r>
            <w:r>
              <w:rPr>
                <w:rFonts w:hint="default" w:ascii="Times New Roman" w:hAnsi="Times New Roman" w:cs="Times New Roman"/>
                <w:color w:val="auto"/>
                <w:sz w:val="24"/>
                <w:szCs w:val="24"/>
                <w:highlight w:val="none"/>
                <w:vertAlign w:val="subscript"/>
              </w:rPr>
              <w:t>C</w:t>
            </w:r>
            <w:r>
              <w:rPr>
                <w:rFonts w:hint="default" w:ascii="Times New Roman" w:hAnsi="Times New Roman" w:cs="Times New Roman"/>
                <w:color w:val="auto"/>
                <w:sz w:val="24"/>
                <w:szCs w:val="24"/>
                <w:highlight w:val="none"/>
              </w:rPr>
              <w:t>：产品因子；</w:t>
            </w:r>
          </w:p>
          <w:p>
            <w:pPr>
              <w:pStyle w:val="5"/>
              <w:bidi w:val="0"/>
              <w:spacing w:line="360" w:lineRule="auto"/>
              <w:ind w:firstLine="720" w:firstLineChars="3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单个固定顶罐大呼吸损耗参数选定及计算结果见下表。</w:t>
            </w:r>
          </w:p>
          <w:p>
            <w:pPr>
              <w:pStyle w:val="5"/>
              <w:bidi w:val="0"/>
              <w:spacing w:line="360" w:lineRule="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由上式计算得单个DMF储罐大呼吸损耗为6.781kg/a，因此两个DMF储罐大呼吸损耗为13.563kg/a</w:t>
            </w:r>
            <w:r>
              <w:rPr>
                <w:rFonts w:hint="default" w:ascii="Times New Roman" w:hAnsi="Times New Roman" w:cs="Times New Roman"/>
                <w:color w:val="auto"/>
                <w:sz w:val="24"/>
                <w:szCs w:val="24"/>
                <w:highlight w:val="none"/>
              </w:rPr>
              <w:t>。</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B.小呼吸</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储罐静置贮存时，储罐空间气体由于昼夜温差变化导致罐内</w:t>
            </w:r>
            <w:r>
              <w:rPr>
                <w:rFonts w:hint="default" w:ascii="Times New Roman" w:hAnsi="Times New Roman" w:cs="Times New Roman"/>
                <w:color w:val="auto"/>
                <w:highlight w:val="none"/>
                <w:lang w:val="en-US" w:eastAsia="zh-CN"/>
              </w:rPr>
              <w:t>DMF</w:t>
            </w:r>
            <w:r>
              <w:rPr>
                <w:rFonts w:hint="default" w:ascii="Times New Roman" w:hAnsi="Times New Roman" w:cs="Times New Roman"/>
                <w:color w:val="auto"/>
                <w:highlight w:val="none"/>
              </w:rPr>
              <w:t>气体排放，即小呼吸排放，固定顶罐的小呼吸排放可用下式估算其污染物的排放量：</w:t>
            </w:r>
          </w:p>
          <w:p>
            <w:pPr>
              <w:autoSpaceDE w:val="0"/>
              <w:autoSpaceDN w:val="0"/>
              <w:spacing w:before="120" w:beforeLines="50" w:after="120" w:afterLines="50" w:line="360" w:lineRule="auto"/>
              <w:jc w:val="center"/>
              <w:rPr>
                <w:rFonts w:hint="default" w:ascii="Times New Roman" w:hAnsi="Times New Roman" w:cs="Times New Roman"/>
                <w:i/>
                <w:color w:val="auto"/>
                <w:sz w:val="24"/>
                <w:highlight w:val="none"/>
                <w:lang w:val="en-GB"/>
              </w:rPr>
            </w:pPr>
            <w:r>
              <w:rPr>
                <w:rFonts w:hint="default" w:ascii="Times New Roman" w:hAnsi="Times New Roman" w:cs="Times New Roman"/>
                <w:i/>
                <w:color w:val="auto"/>
                <w:sz w:val="24"/>
                <w:highlight w:val="none"/>
                <w:lang w:val="en-GB"/>
              </w:rPr>
              <w:t>L</w:t>
            </w:r>
            <w:r>
              <w:rPr>
                <w:rFonts w:hint="default" w:ascii="Times New Roman" w:hAnsi="Times New Roman" w:cs="Times New Roman"/>
                <w:i/>
                <w:color w:val="auto"/>
                <w:sz w:val="24"/>
                <w:highlight w:val="none"/>
                <w:vertAlign w:val="subscript"/>
                <w:lang w:val="en-GB"/>
              </w:rPr>
              <w:t>B</w:t>
            </w:r>
            <w:r>
              <w:rPr>
                <w:rFonts w:hint="default" w:ascii="Times New Roman" w:hAnsi="Times New Roman" w:cs="Times New Roman"/>
                <w:i/>
                <w:color w:val="auto"/>
                <w:sz w:val="24"/>
                <w:highlight w:val="none"/>
                <w:lang w:val="en-GB"/>
              </w:rPr>
              <w:t>=</w:t>
            </w:r>
            <w:r>
              <w:rPr>
                <w:rFonts w:hint="default" w:ascii="Times New Roman" w:hAnsi="Times New Roman" w:cs="Times New Roman"/>
                <w:color w:val="auto"/>
                <w:sz w:val="24"/>
                <w:highlight w:val="none"/>
                <w:lang w:val="en-GB"/>
              </w:rPr>
              <w:t>0.191</w:t>
            </w:r>
            <w:r>
              <w:rPr>
                <w:rFonts w:hint="default" w:ascii="Times New Roman" w:hAnsi="Times New Roman" w:cs="Times New Roman"/>
                <w:i/>
                <w:color w:val="auto"/>
                <w:sz w:val="24"/>
                <w:highlight w:val="none"/>
                <w:lang w:val="en-GB"/>
              </w:rPr>
              <w:t>×M×</w:t>
            </w:r>
            <w:r>
              <w:rPr>
                <w:rFonts w:hint="default" w:ascii="Times New Roman" w:hAnsi="Times New Roman" w:cs="Times New Roman"/>
                <w:color w:val="auto"/>
                <w:sz w:val="24"/>
                <w:highlight w:val="none"/>
                <w:lang w:val="en-GB"/>
              </w:rPr>
              <w:t>(</w:t>
            </w:r>
            <w:r>
              <w:rPr>
                <w:rFonts w:hint="default" w:ascii="Times New Roman" w:hAnsi="Times New Roman" w:cs="Times New Roman"/>
                <w:i/>
                <w:color w:val="auto"/>
                <w:sz w:val="24"/>
                <w:highlight w:val="none"/>
                <w:lang w:val="en-GB"/>
              </w:rPr>
              <w:t>P/</w:t>
            </w:r>
            <w:r>
              <w:rPr>
                <w:rFonts w:hint="default" w:ascii="Times New Roman" w:hAnsi="Times New Roman" w:cs="Times New Roman"/>
                <w:color w:val="auto"/>
                <w:sz w:val="24"/>
                <w:highlight w:val="none"/>
                <w:lang w:val="en-GB"/>
              </w:rPr>
              <w:t>(100910-</w:t>
            </w:r>
            <w:r>
              <w:rPr>
                <w:rFonts w:hint="default" w:ascii="Times New Roman" w:hAnsi="Times New Roman" w:cs="Times New Roman"/>
                <w:i/>
                <w:color w:val="auto"/>
                <w:sz w:val="24"/>
                <w:highlight w:val="none"/>
                <w:lang w:val="en-GB"/>
              </w:rPr>
              <w:t>P</w:t>
            </w:r>
            <w:r>
              <w:rPr>
                <w:rFonts w:hint="default" w:ascii="Times New Roman" w:hAnsi="Times New Roman" w:cs="Times New Roman"/>
                <w:color w:val="auto"/>
                <w:sz w:val="24"/>
                <w:highlight w:val="none"/>
                <w:lang w:val="en-GB"/>
              </w:rPr>
              <w:t>))</w:t>
            </w:r>
            <w:r>
              <w:rPr>
                <w:rFonts w:hint="default" w:ascii="Times New Roman" w:hAnsi="Times New Roman" w:cs="Times New Roman"/>
                <w:color w:val="auto"/>
                <w:sz w:val="24"/>
                <w:highlight w:val="none"/>
                <w:vertAlign w:val="superscript"/>
                <w:lang w:val="en-GB"/>
              </w:rPr>
              <w:t>0.68</w:t>
            </w:r>
            <w:r>
              <w:rPr>
                <w:rFonts w:hint="default" w:ascii="Times New Roman" w:hAnsi="Times New Roman" w:cs="Times New Roman"/>
                <w:i/>
                <w:color w:val="auto"/>
                <w:sz w:val="24"/>
                <w:highlight w:val="none"/>
                <w:lang w:val="en-GB"/>
              </w:rPr>
              <w:t>×D</w:t>
            </w:r>
            <w:r>
              <w:rPr>
                <w:rFonts w:hint="default" w:ascii="Times New Roman" w:hAnsi="Times New Roman" w:cs="Times New Roman"/>
                <w:color w:val="auto"/>
                <w:sz w:val="24"/>
                <w:highlight w:val="none"/>
                <w:vertAlign w:val="superscript"/>
                <w:lang w:val="en-GB"/>
              </w:rPr>
              <w:t>1.73</w:t>
            </w:r>
            <w:r>
              <w:rPr>
                <w:rFonts w:hint="default" w:ascii="Times New Roman" w:hAnsi="Times New Roman" w:cs="Times New Roman"/>
                <w:i/>
                <w:color w:val="auto"/>
                <w:sz w:val="24"/>
                <w:highlight w:val="none"/>
                <w:lang w:val="en-GB"/>
              </w:rPr>
              <w:t>×H</w:t>
            </w:r>
            <w:r>
              <w:rPr>
                <w:rFonts w:hint="default" w:ascii="Times New Roman" w:hAnsi="Times New Roman" w:cs="Times New Roman"/>
                <w:i/>
                <w:color w:val="auto"/>
                <w:sz w:val="24"/>
                <w:highlight w:val="none"/>
                <w:vertAlign w:val="superscript"/>
                <w:lang w:val="en-GB"/>
              </w:rPr>
              <w:t xml:space="preserve"> </w:t>
            </w:r>
            <w:r>
              <w:rPr>
                <w:rFonts w:hint="default" w:ascii="Times New Roman" w:hAnsi="Times New Roman" w:cs="Times New Roman"/>
                <w:color w:val="auto"/>
                <w:sz w:val="24"/>
                <w:highlight w:val="none"/>
                <w:vertAlign w:val="superscript"/>
                <w:lang w:val="en-GB"/>
              </w:rPr>
              <w:t>0.51</w:t>
            </w:r>
            <w:r>
              <w:rPr>
                <w:rFonts w:hint="default" w:ascii="Times New Roman" w:hAnsi="Times New Roman" w:cs="Times New Roman"/>
                <w:i/>
                <w:color w:val="auto"/>
                <w:sz w:val="24"/>
                <w:highlight w:val="none"/>
                <w:lang w:val="en-GB"/>
              </w:rPr>
              <w:t>×△T</w:t>
            </w:r>
            <w:r>
              <w:rPr>
                <w:rFonts w:hint="default" w:ascii="Times New Roman" w:hAnsi="Times New Roman" w:cs="Times New Roman"/>
                <w:i/>
                <w:color w:val="auto"/>
                <w:sz w:val="24"/>
                <w:highlight w:val="none"/>
                <w:vertAlign w:val="superscript"/>
                <w:lang w:val="en-GB"/>
              </w:rPr>
              <w:t xml:space="preserve"> </w:t>
            </w:r>
            <w:r>
              <w:rPr>
                <w:rFonts w:hint="default" w:ascii="Times New Roman" w:hAnsi="Times New Roman" w:cs="Times New Roman"/>
                <w:color w:val="auto"/>
                <w:sz w:val="24"/>
                <w:highlight w:val="none"/>
                <w:vertAlign w:val="superscript"/>
                <w:lang w:val="en-GB"/>
              </w:rPr>
              <w:t>0.45</w:t>
            </w:r>
            <w:r>
              <w:rPr>
                <w:rFonts w:hint="default" w:ascii="Times New Roman" w:hAnsi="Times New Roman" w:cs="Times New Roman"/>
                <w:i/>
                <w:color w:val="auto"/>
                <w:sz w:val="24"/>
                <w:highlight w:val="none"/>
                <w:lang w:val="en-GB"/>
              </w:rPr>
              <w:t>×F</w:t>
            </w:r>
            <w:r>
              <w:rPr>
                <w:rFonts w:hint="default" w:ascii="Times New Roman" w:hAnsi="Times New Roman" w:cs="Times New Roman"/>
                <w:i/>
                <w:color w:val="auto"/>
                <w:sz w:val="24"/>
                <w:highlight w:val="none"/>
                <w:vertAlign w:val="subscript"/>
                <w:lang w:val="en-GB"/>
              </w:rPr>
              <w:t>P</w:t>
            </w:r>
            <w:r>
              <w:rPr>
                <w:rFonts w:hint="default" w:ascii="Times New Roman" w:hAnsi="Times New Roman" w:cs="Times New Roman"/>
                <w:i/>
                <w:color w:val="auto"/>
                <w:sz w:val="24"/>
                <w:highlight w:val="none"/>
                <w:lang w:val="en-GB"/>
              </w:rPr>
              <w:t>×C×K</w:t>
            </w:r>
            <w:r>
              <w:rPr>
                <w:rFonts w:hint="default" w:ascii="Times New Roman" w:hAnsi="Times New Roman" w:cs="Times New Roman"/>
                <w:i/>
                <w:color w:val="auto"/>
                <w:sz w:val="24"/>
                <w:highlight w:val="none"/>
                <w:vertAlign w:val="subscript"/>
                <w:lang w:val="en-GB"/>
              </w:rPr>
              <w:t>C</w:t>
            </w:r>
          </w:p>
          <w:p>
            <w:pPr>
              <w:spacing w:line="360" w:lineRule="auto"/>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式中：L</w:t>
            </w:r>
            <w:r>
              <w:rPr>
                <w:rFonts w:hint="default" w:ascii="Times New Roman" w:hAnsi="Times New Roman" w:cs="Times New Roman"/>
                <w:color w:val="auto"/>
                <w:sz w:val="24"/>
                <w:highlight w:val="none"/>
                <w:vertAlign w:val="subscript"/>
                <w:lang w:val="zh-CN"/>
              </w:rPr>
              <w:t>B</w:t>
            </w:r>
            <w:r>
              <w:rPr>
                <w:rFonts w:hint="default" w:ascii="Times New Roman" w:hAnsi="Times New Roman" w:cs="Times New Roman"/>
                <w:color w:val="auto"/>
                <w:sz w:val="24"/>
                <w:highlight w:val="none"/>
                <w:vertAlign w:val="baseline"/>
                <w:lang w:val="en-US" w:eastAsia="zh-CN"/>
              </w:rPr>
              <w:t>——</w:t>
            </w:r>
            <w:r>
              <w:rPr>
                <w:rFonts w:hint="default" w:ascii="Times New Roman" w:hAnsi="Times New Roman" w:cs="Times New Roman"/>
                <w:color w:val="auto"/>
                <w:sz w:val="24"/>
                <w:highlight w:val="none"/>
                <w:lang w:val="zh-CN"/>
              </w:rPr>
              <w:t>固定顶罐的呼吸排放量（Kg/a）；</w:t>
            </w:r>
          </w:p>
          <w:p>
            <w:pPr>
              <w:spacing w:line="360" w:lineRule="auto"/>
              <w:ind w:firstLine="720" w:firstLineChars="3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M——储罐内蒸气的分子量，</w:t>
            </w:r>
            <w:r>
              <w:rPr>
                <w:rFonts w:hint="default" w:ascii="Times New Roman" w:hAnsi="Times New Roman" w:cs="Times New Roman"/>
                <w:color w:val="auto"/>
                <w:sz w:val="24"/>
                <w:highlight w:val="none"/>
                <w:lang w:val="en-US" w:eastAsia="zh-CN"/>
              </w:rPr>
              <w:t>73.09</w:t>
            </w:r>
            <w:r>
              <w:rPr>
                <w:rFonts w:hint="default" w:ascii="Times New Roman" w:hAnsi="Times New Roman" w:cs="Times New Roman"/>
                <w:color w:val="auto"/>
                <w:sz w:val="24"/>
                <w:highlight w:val="none"/>
                <w:lang w:val="zh-CN"/>
              </w:rPr>
              <w:t>；</w:t>
            </w:r>
          </w:p>
          <w:p>
            <w:pPr>
              <w:spacing w:line="360" w:lineRule="auto"/>
              <w:ind w:firstLine="720" w:firstLineChars="3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P——在大量液体状态下，真实的蒸气压力（Pa），</w:t>
            </w:r>
            <w:r>
              <w:rPr>
                <w:rFonts w:hint="default" w:ascii="Times New Roman" w:hAnsi="Times New Roman" w:cs="Times New Roman"/>
                <w:color w:val="auto"/>
                <w:sz w:val="24"/>
                <w:highlight w:val="none"/>
                <w:lang w:val="en-US" w:eastAsia="zh-CN"/>
              </w:rPr>
              <w:t>490Pa</w:t>
            </w:r>
            <w:r>
              <w:rPr>
                <w:rFonts w:hint="default" w:ascii="Times New Roman" w:hAnsi="Times New Roman" w:cs="Times New Roman"/>
                <w:color w:val="auto"/>
                <w:sz w:val="24"/>
                <w:highlight w:val="none"/>
                <w:lang w:val="zh-CN"/>
              </w:rPr>
              <w:t>；</w:t>
            </w:r>
          </w:p>
          <w:p>
            <w:pPr>
              <w:spacing w:line="360" w:lineRule="auto"/>
              <w:ind w:firstLine="720" w:firstLineChars="3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D——罐的直径（m），</w:t>
            </w:r>
            <w:r>
              <w:rPr>
                <w:rFonts w:hint="default" w:ascii="Times New Roman" w:hAnsi="Times New Roman" w:cs="Times New Roman"/>
                <w:color w:val="auto"/>
                <w:sz w:val="24"/>
                <w:highlight w:val="none"/>
                <w:lang w:val="en-US" w:eastAsia="zh-CN"/>
              </w:rPr>
              <w:t>3m</w:t>
            </w:r>
            <w:r>
              <w:rPr>
                <w:rFonts w:hint="default" w:ascii="Times New Roman" w:hAnsi="Times New Roman" w:cs="Times New Roman"/>
                <w:color w:val="auto"/>
                <w:sz w:val="24"/>
                <w:highlight w:val="none"/>
                <w:lang w:val="zh-CN"/>
              </w:rPr>
              <w:t>；</w:t>
            </w:r>
          </w:p>
          <w:p>
            <w:pPr>
              <w:spacing w:line="360" w:lineRule="auto"/>
              <w:ind w:firstLine="720" w:firstLineChars="3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H——平均蒸气空间高度（m），</w:t>
            </w:r>
            <w:r>
              <w:rPr>
                <w:rFonts w:hint="default" w:ascii="Times New Roman" w:hAnsi="Times New Roman" w:cs="Times New Roman"/>
                <w:color w:val="auto"/>
                <w:sz w:val="24"/>
                <w:highlight w:val="none"/>
              </w:rPr>
              <w:t>本项目取0.5计算</w:t>
            </w:r>
            <w:r>
              <w:rPr>
                <w:rFonts w:hint="default" w:ascii="Times New Roman" w:hAnsi="Times New Roman" w:cs="Times New Roman"/>
                <w:color w:val="auto"/>
                <w:sz w:val="24"/>
                <w:highlight w:val="none"/>
                <w:lang w:val="zh-CN"/>
              </w:rPr>
              <w:t>；</w:t>
            </w:r>
          </w:p>
          <w:p>
            <w:pPr>
              <w:spacing w:line="360" w:lineRule="auto"/>
              <w:ind w:firstLine="720" w:firstLineChars="3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△T——一天之内的平均温度差（℃），</w:t>
            </w:r>
            <w:r>
              <w:rPr>
                <w:rFonts w:hint="default" w:ascii="Times New Roman" w:hAnsi="Times New Roman" w:cs="Times New Roman"/>
                <w:color w:val="auto"/>
                <w:sz w:val="24"/>
                <w:highlight w:val="none"/>
                <w:lang w:val="en-US" w:eastAsia="zh-CN"/>
              </w:rPr>
              <w:t>取10℃</w:t>
            </w:r>
            <w:r>
              <w:rPr>
                <w:rFonts w:hint="default" w:ascii="Times New Roman" w:hAnsi="Times New Roman" w:cs="Times New Roman"/>
                <w:color w:val="auto"/>
                <w:sz w:val="24"/>
                <w:highlight w:val="none"/>
                <w:lang w:val="zh-CN"/>
              </w:rPr>
              <w:t>；</w:t>
            </w:r>
          </w:p>
          <w:p>
            <w:pPr>
              <w:spacing w:line="360" w:lineRule="auto"/>
              <w:ind w:firstLine="720" w:firstLineChars="3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F</w:t>
            </w:r>
            <w:r>
              <w:rPr>
                <w:rFonts w:hint="default" w:ascii="Times New Roman" w:hAnsi="Times New Roman" w:cs="Times New Roman"/>
                <w:color w:val="auto"/>
                <w:sz w:val="24"/>
                <w:highlight w:val="none"/>
                <w:vertAlign w:val="subscript"/>
                <w:lang w:val="zh-CN"/>
              </w:rPr>
              <w:t>P</w:t>
            </w:r>
            <w:r>
              <w:rPr>
                <w:rFonts w:hint="default" w:ascii="Times New Roman" w:hAnsi="Times New Roman" w:cs="Times New Roman"/>
                <w:color w:val="auto"/>
                <w:sz w:val="24"/>
                <w:highlight w:val="none"/>
                <w:lang w:val="zh-CN"/>
              </w:rPr>
              <w:t>——涂层因子（无量纲），根据油漆状况取值在1~1.5之间；</w:t>
            </w:r>
          </w:p>
          <w:p>
            <w:pPr>
              <w:spacing w:line="360" w:lineRule="auto"/>
              <w:ind w:firstLine="720" w:firstLineChars="3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C——用于小直径罐的调节因子（无量纲）；直径在0~9m之间的罐体，C=1-0.0123(D-9)^2；罐径大于9m的C=1；</w:t>
            </w:r>
          </w:p>
          <w:p>
            <w:pPr>
              <w:pStyle w:val="5"/>
              <w:bidi w:val="0"/>
              <w:ind w:firstLine="720" w:firstLineChars="3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zh-CN"/>
              </w:rPr>
              <w:t>K</w:t>
            </w:r>
            <w:r>
              <w:rPr>
                <w:rFonts w:hint="default" w:ascii="Times New Roman" w:hAnsi="Times New Roman" w:cs="Times New Roman"/>
                <w:color w:val="auto"/>
                <w:highlight w:val="none"/>
                <w:vertAlign w:val="subscript"/>
                <w:lang w:val="zh-CN"/>
              </w:rPr>
              <w:t>C</w:t>
            </w:r>
            <w:r>
              <w:rPr>
                <w:rFonts w:hint="default" w:ascii="Times New Roman" w:hAnsi="Times New Roman" w:cs="Times New Roman"/>
                <w:color w:val="auto"/>
                <w:highlight w:val="none"/>
                <w:lang w:val="zh-CN"/>
              </w:rPr>
              <w:t>——产品因子，</w:t>
            </w:r>
            <w:r>
              <w:rPr>
                <w:rFonts w:hint="default" w:ascii="Times New Roman" w:hAnsi="Times New Roman" w:cs="Times New Roman"/>
                <w:color w:val="auto"/>
                <w:highlight w:val="none"/>
                <w:lang w:val="en-US" w:eastAsia="zh-CN"/>
              </w:rPr>
              <w:t>取1.0。</w:t>
            </w:r>
          </w:p>
          <w:p>
            <w:pPr>
              <w:pStyle w:val="5"/>
              <w:bidi w:val="0"/>
              <w:ind w:firstLine="720" w:firstLineChars="3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由上式计算得单个DMF储罐小呼吸损耗为3.93kg/a，因此两个DMF储罐小呼吸损耗为7.861kg/a。DMF储罐大小呼吸合计损耗为0.0214t/a。</w:t>
            </w:r>
          </w:p>
          <w:p>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（2）危险废物</w:t>
            </w:r>
          </w:p>
          <w:p>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现有工程PU合成革生产线的DMF废液属于HW06（900-404-06），产生量为8251.2t/a，收集至DMF废水储罐后委托福建大成皮业有限公司外运处置，其贮存、转移</w:t>
            </w:r>
            <w:r>
              <w:rPr>
                <w:rFonts w:hint="default" w:ascii="Times New Roman" w:hAnsi="Times New Roman" w:cs="Times New Roman"/>
                <w:color w:val="auto"/>
                <w:highlight w:val="none"/>
              </w:rPr>
              <w:t>《危险废物贮存污染控制标准》（GB18597-2001）及其修改单和《危险废物转移联单管理办法》</w:t>
            </w:r>
            <w:r>
              <w:rPr>
                <w:rFonts w:hint="default" w:ascii="Times New Roman" w:hAnsi="Times New Roman" w:cs="Times New Roman"/>
                <w:color w:val="auto"/>
                <w:highlight w:val="none"/>
                <w:lang w:val="en-US" w:eastAsia="zh-CN"/>
              </w:rPr>
              <w:t>进行收集暂存，填写危险废物转移联单。本次项目新增DMF废液回收处理设备，对厂内生产的DMF废液进行蒸馏回收，回收后DMF成品浓度≥99.5%，属于“以新带老”工程，可削减DMF废液量8251.2t/a。回收过程中将产生精馏残渣25t/a，属于《国家危险废物名录（2021年版）》中HW06(900-404-06)类危险废物；设备维护过程中将产生废机油0.1t/a，属于HW08（900-249-08）类危险废物。精馏残渣和废机油经分类收集至危险废物暂存间后委托有资质的单位外运处置。</w:t>
            </w:r>
          </w:p>
          <w:p>
            <w:pPr>
              <w:pStyle w:val="1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“以新带老”措施实施后现有工程污染物排放情况一览表  单位：t/a</w:t>
            </w:r>
          </w:p>
          <w:tbl>
            <w:tblPr>
              <w:tblStyle w:val="11"/>
              <w:tblW w:w="907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33"/>
              <w:gridCol w:w="977"/>
              <w:gridCol w:w="2147"/>
              <w:gridCol w:w="1168"/>
              <w:gridCol w:w="1894"/>
              <w:gridCol w:w="205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57" w:type="dxa"/>
                  <w:gridSpan w:val="3"/>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主要污染物</w:t>
                  </w:r>
                </w:p>
              </w:tc>
              <w:tc>
                <w:tcPr>
                  <w:tcW w:w="1168"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现有工程</w:t>
                  </w:r>
                  <w:r>
                    <w:rPr>
                      <w:rFonts w:hint="default" w:ascii="Times New Roman" w:hAnsi="Times New Roman" w:cs="Times New Roman"/>
                      <w:color w:val="auto"/>
                      <w:highlight w:val="none"/>
                    </w:rPr>
                    <w:t>排放量</w:t>
                  </w:r>
                </w:p>
              </w:tc>
              <w:tc>
                <w:tcPr>
                  <w:tcW w:w="1894" w:type="dxa"/>
                  <w:tcBorders>
                    <w:tl2br w:val="nil"/>
                    <w:tr2bl w:val="nil"/>
                  </w:tcBorders>
                  <w:shd w:val="clear" w:color="auto" w:fill="auto"/>
                  <w:vAlign w:val="center"/>
                </w:tcPr>
                <w:p>
                  <w:pPr>
                    <w:pStyle w:val="16"/>
                    <w:bidi w:val="0"/>
                    <w:ind w:left="0" w:leftChars="0" w:firstLine="0" w:firstLineChars="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“以新带老”削减量</w:t>
                  </w:r>
                </w:p>
              </w:tc>
              <w:tc>
                <w:tcPr>
                  <w:tcW w:w="2053" w:type="dxa"/>
                  <w:tcBorders>
                    <w:tl2br w:val="nil"/>
                    <w:tr2bl w:val="nil"/>
                  </w:tcBorders>
                  <w:shd w:val="clear" w:color="auto" w:fill="auto"/>
                  <w:vAlign w:val="center"/>
                </w:tcPr>
                <w:p>
                  <w:pPr>
                    <w:pStyle w:val="16"/>
                    <w:bidi w:val="0"/>
                    <w:ind w:left="0" w:leftChars="0" w:firstLine="0" w:firstLineChars="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“以新带老”后排放量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3" w:type="dxa"/>
                  <w:vMerge w:val="restart"/>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废气</w:t>
                  </w:r>
                </w:p>
              </w:tc>
              <w:tc>
                <w:tcPr>
                  <w:tcW w:w="3124" w:type="dxa"/>
                  <w:gridSpan w:val="2"/>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苯</w:t>
                  </w:r>
                </w:p>
              </w:tc>
              <w:tc>
                <w:tcPr>
                  <w:tcW w:w="1168"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0.0051 </w:t>
                  </w:r>
                </w:p>
              </w:tc>
              <w:tc>
                <w:tcPr>
                  <w:tcW w:w="1894"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0.0002 </w:t>
                  </w:r>
                </w:p>
              </w:tc>
              <w:tc>
                <w:tcPr>
                  <w:tcW w:w="2053"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0.0049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3124" w:type="dxa"/>
                  <w:gridSpan w:val="2"/>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甲苯</w:t>
                  </w:r>
                </w:p>
              </w:tc>
              <w:tc>
                <w:tcPr>
                  <w:tcW w:w="1168"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0.0920 </w:t>
                  </w:r>
                </w:p>
              </w:tc>
              <w:tc>
                <w:tcPr>
                  <w:tcW w:w="1894"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0.0039 </w:t>
                  </w:r>
                </w:p>
              </w:tc>
              <w:tc>
                <w:tcPr>
                  <w:tcW w:w="2053"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0.0881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3124" w:type="dxa"/>
                  <w:gridSpan w:val="2"/>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二甲苯</w:t>
                  </w:r>
                </w:p>
              </w:tc>
              <w:tc>
                <w:tcPr>
                  <w:tcW w:w="1168"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0.0791 </w:t>
                  </w:r>
                </w:p>
              </w:tc>
              <w:tc>
                <w:tcPr>
                  <w:tcW w:w="1894"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0.0139 </w:t>
                  </w:r>
                </w:p>
              </w:tc>
              <w:tc>
                <w:tcPr>
                  <w:tcW w:w="2053"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0.0652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3124" w:type="dxa"/>
                  <w:gridSpan w:val="2"/>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非甲烷总烃</w:t>
                  </w:r>
                </w:p>
              </w:tc>
              <w:tc>
                <w:tcPr>
                  <w:tcW w:w="1168"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24.2312 </w:t>
                  </w:r>
                </w:p>
              </w:tc>
              <w:tc>
                <w:tcPr>
                  <w:tcW w:w="1894"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3.5005 </w:t>
                  </w:r>
                </w:p>
              </w:tc>
              <w:tc>
                <w:tcPr>
                  <w:tcW w:w="2053"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20.7307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3124" w:type="dxa"/>
                  <w:gridSpan w:val="2"/>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DMF</w:t>
                  </w:r>
                </w:p>
              </w:tc>
              <w:tc>
                <w:tcPr>
                  <w:tcW w:w="1168"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szCs w:val="22"/>
                      <w:highlight w:val="none"/>
                      <w:lang w:val="en-US" w:eastAsia="zh-CN"/>
                    </w:rPr>
                  </w:pPr>
                  <w:r>
                    <w:rPr>
                      <w:rFonts w:hint="default" w:ascii="Times New Roman" w:hAnsi="Times New Roman" w:cs="Times New Roman"/>
                      <w:color w:val="auto"/>
                      <w:szCs w:val="22"/>
                      <w:highlight w:val="none"/>
                      <w:lang w:val="en-US" w:eastAsia="zh-CN"/>
                    </w:rPr>
                    <w:t>7.6178</w:t>
                  </w:r>
                  <w:r>
                    <w:rPr>
                      <w:rFonts w:hint="default" w:ascii="Times New Roman" w:hAnsi="Times New Roman" w:eastAsia="宋体" w:cs="Times New Roman"/>
                      <w:color w:val="auto"/>
                      <w:szCs w:val="22"/>
                      <w:highlight w:val="none"/>
                      <w:lang w:val="en-US" w:eastAsia="zh-CN"/>
                    </w:rPr>
                    <w:t xml:space="preserve"> </w:t>
                  </w:r>
                </w:p>
              </w:tc>
              <w:tc>
                <w:tcPr>
                  <w:tcW w:w="1894"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1.1952</w:t>
                  </w:r>
                </w:p>
              </w:tc>
              <w:tc>
                <w:tcPr>
                  <w:tcW w:w="2053"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6.4226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3" w:type="dxa"/>
                  <w:vMerge w:val="restart"/>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生活污水</w:t>
                  </w:r>
                </w:p>
              </w:tc>
              <w:tc>
                <w:tcPr>
                  <w:tcW w:w="3124" w:type="dxa"/>
                  <w:gridSpan w:val="2"/>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废水量</w:t>
                  </w:r>
                </w:p>
              </w:tc>
              <w:tc>
                <w:tcPr>
                  <w:tcW w:w="1168" w:type="dxa"/>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Cs w:val="21"/>
                      <w:highlight w:val="none"/>
                      <w:lang w:val="en-US" w:eastAsia="zh-CN" w:bidi="ar"/>
                    </w:rPr>
                    <w:t>3888</w:t>
                  </w:r>
                </w:p>
              </w:tc>
              <w:tc>
                <w:tcPr>
                  <w:tcW w:w="1894"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2053"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3888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3124" w:type="dxa"/>
                  <w:gridSpan w:val="2"/>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CODcr</w:t>
                  </w:r>
                </w:p>
              </w:tc>
              <w:tc>
                <w:tcPr>
                  <w:tcW w:w="1168" w:type="dxa"/>
                  <w:tcBorders>
                    <w:tl2br w:val="nil"/>
                    <w:tr2bl w:val="nil"/>
                  </w:tcBorders>
                  <w:shd w:val="clear" w:color="auto" w:fill="auto"/>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rPr>
                    <w:t>1.56</w:t>
                  </w:r>
                </w:p>
              </w:tc>
              <w:tc>
                <w:tcPr>
                  <w:tcW w:w="1894"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highlight w:val="none"/>
                      <w:lang w:val="en-US" w:eastAsia="zh-CN"/>
                    </w:rPr>
                    <w:t>0</w:t>
                  </w:r>
                </w:p>
              </w:tc>
              <w:tc>
                <w:tcPr>
                  <w:tcW w:w="2053"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1.56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3124" w:type="dxa"/>
                  <w:gridSpan w:val="2"/>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w:t>
                  </w:r>
                </w:p>
              </w:tc>
              <w:tc>
                <w:tcPr>
                  <w:tcW w:w="1168"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0.97</w:t>
                  </w:r>
                </w:p>
              </w:tc>
              <w:tc>
                <w:tcPr>
                  <w:tcW w:w="1894"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highlight w:val="none"/>
                      <w:lang w:val="en-US" w:eastAsia="zh-CN"/>
                    </w:rPr>
                    <w:t>0</w:t>
                  </w:r>
                </w:p>
              </w:tc>
              <w:tc>
                <w:tcPr>
                  <w:tcW w:w="2053"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0.97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3124" w:type="dxa"/>
                  <w:gridSpan w:val="2"/>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SS</w:t>
                  </w:r>
                </w:p>
              </w:tc>
              <w:tc>
                <w:tcPr>
                  <w:tcW w:w="1168" w:type="dxa"/>
                  <w:tcBorders>
                    <w:tl2br w:val="nil"/>
                    <w:tr2bl w:val="nil"/>
                  </w:tcBorders>
                  <w:shd w:val="clear" w:color="auto" w:fill="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0.136</w:t>
                  </w:r>
                </w:p>
              </w:tc>
              <w:tc>
                <w:tcPr>
                  <w:tcW w:w="1894"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highlight w:val="none"/>
                      <w:lang w:val="en-US" w:eastAsia="zh-CN"/>
                    </w:rPr>
                    <w:t>0</w:t>
                  </w:r>
                </w:p>
              </w:tc>
              <w:tc>
                <w:tcPr>
                  <w:tcW w:w="2053"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0.136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3" w:type="dxa"/>
                  <w:vMerge w:val="restart"/>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固废</w:t>
                  </w:r>
                </w:p>
              </w:tc>
              <w:tc>
                <w:tcPr>
                  <w:tcW w:w="3124" w:type="dxa"/>
                  <w:gridSpan w:val="2"/>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污染物</w:t>
                  </w:r>
                </w:p>
              </w:tc>
              <w:tc>
                <w:tcPr>
                  <w:tcW w:w="1168" w:type="dxa"/>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现有工程产生及处置量</w:t>
                  </w:r>
                </w:p>
              </w:tc>
              <w:tc>
                <w:tcPr>
                  <w:tcW w:w="1894" w:type="dxa"/>
                  <w:tcBorders>
                    <w:tl2br w:val="nil"/>
                    <w:tr2bl w:val="nil"/>
                  </w:tcBorders>
                  <w:shd w:val="clear" w:color="auto" w:fill="auto"/>
                  <w:vAlign w:val="center"/>
                </w:tcPr>
                <w:p>
                  <w:pPr>
                    <w:pStyle w:val="16"/>
                    <w:bidi w:val="0"/>
                    <w:ind w:left="0" w:leftChars="0" w:firstLine="0" w:firstLineChars="0"/>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highlight w:val="none"/>
                    </w:rPr>
                    <w:t>“以新带老”削减量</w:t>
                  </w:r>
                </w:p>
              </w:tc>
              <w:tc>
                <w:tcPr>
                  <w:tcW w:w="2053" w:type="dxa"/>
                  <w:tcBorders>
                    <w:tl2br w:val="nil"/>
                    <w:tr2bl w:val="nil"/>
                  </w:tcBorders>
                  <w:shd w:val="clear" w:color="auto" w:fill="auto"/>
                  <w:vAlign w:val="center"/>
                </w:tcPr>
                <w:p>
                  <w:pPr>
                    <w:pStyle w:val="16"/>
                    <w:bidi w:val="0"/>
                    <w:ind w:left="0" w:leftChars="0" w:firstLine="0" w:firstLineChars="0"/>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highlight w:val="none"/>
                    </w:rPr>
                    <w:t>“以新带老”后</w:t>
                  </w:r>
                  <w:r>
                    <w:rPr>
                      <w:rFonts w:hint="default" w:ascii="Times New Roman" w:hAnsi="Times New Roman" w:cs="Times New Roman"/>
                      <w:color w:val="auto"/>
                      <w:highlight w:val="none"/>
                      <w:lang w:val="en-US" w:eastAsia="zh-CN"/>
                    </w:rPr>
                    <w:t>产生及处置</w:t>
                  </w:r>
                  <w:r>
                    <w:rPr>
                      <w:rFonts w:hint="default" w:ascii="Times New Roman" w:hAnsi="Times New Roman" w:cs="Times New Roman"/>
                      <w:color w:val="auto"/>
                      <w:highlight w:val="none"/>
                    </w:rPr>
                    <w:t>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977" w:type="dxa"/>
                  <w:vMerge w:val="restart"/>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一般工业固废</w:t>
                  </w:r>
                </w:p>
              </w:tc>
              <w:tc>
                <w:tcPr>
                  <w:tcW w:w="2147" w:type="dxa"/>
                  <w:tcBorders>
                    <w:tl2br w:val="nil"/>
                    <w:tr2bl w:val="nil"/>
                  </w:tcBorders>
                  <w:shd w:val="clear" w:color="auto" w:fill="auto"/>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kern w:val="2"/>
                      <w:sz w:val="21"/>
                      <w:szCs w:val="21"/>
                      <w:highlight w:val="none"/>
                    </w:rPr>
                    <w:t>皮革边角料</w:t>
                  </w:r>
                </w:p>
              </w:tc>
              <w:tc>
                <w:tcPr>
                  <w:tcW w:w="1168"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1"/>
                      <w:highlight w:val="none"/>
                    </w:rPr>
                    <w:t>25</w:t>
                  </w:r>
                </w:p>
              </w:tc>
              <w:tc>
                <w:tcPr>
                  <w:tcW w:w="1894"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w:t>
                  </w:r>
                </w:p>
              </w:tc>
              <w:tc>
                <w:tcPr>
                  <w:tcW w:w="2053"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1"/>
                      <w:highlight w:val="none"/>
                    </w:rPr>
                    <w:t>25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977"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2147" w:type="dxa"/>
                  <w:tcBorders>
                    <w:tl2br w:val="nil"/>
                    <w:tr2bl w:val="nil"/>
                  </w:tcBorders>
                  <w:shd w:val="clear" w:color="auto" w:fill="auto"/>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kern w:val="2"/>
                      <w:sz w:val="21"/>
                      <w:szCs w:val="21"/>
                      <w:highlight w:val="none"/>
                    </w:rPr>
                    <w:t>废包装材料</w:t>
                  </w:r>
                </w:p>
              </w:tc>
              <w:tc>
                <w:tcPr>
                  <w:tcW w:w="1168"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1"/>
                      <w:highlight w:val="none"/>
                    </w:rPr>
                    <w:t>2</w:t>
                  </w:r>
                </w:p>
              </w:tc>
              <w:tc>
                <w:tcPr>
                  <w:tcW w:w="1894"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2053"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1"/>
                      <w:highlight w:val="none"/>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977" w:type="dxa"/>
                  <w:vMerge w:val="restart"/>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危险废物</w:t>
                  </w:r>
                </w:p>
              </w:tc>
              <w:tc>
                <w:tcPr>
                  <w:tcW w:w="2147" w:type="dxa"/>
                  <w:tcBorders>
                    <w:tl2br w:val="nil"/>
                    <w:tr2bl w:val="nil"/>
                  </w:tcBorders>
                  <w:shd w:val="clear" w:color="auto" w:fill="auto"/>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kern w:val="2"/>
                      <w:sz w:val="21"/>
                      <w:szCs w:val="21"/>
                      <w:highlight w:val="none"/>
                    </w:rPr>
                    <w:t>擦拭布等废弃沾染物</w:t>
                  </w:r>
                </w:p>
              </w:tc>
              <w:tc>
                <w:tcPr>
                  <w:tcW w:w="1168"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1"/>
                      <w:highlight w:val="none"/>
                    </w:rPr>
                    <w:t>0.5</w:t>
                  </w:r>
                </w:p>
              </w:tc>
              <w:tc>
                <w:tcPr>
                  <w:tcW w:w="1894"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0</w:t>
                  </w:r>
                </w:p>
              </w:tc>
              <w:tc>
                <w:tcPr>
                  <w:tcW w:w="2053"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1"/>
                      <w:highlight w:val="none"/>
                    </w:rPr>
                    <w:t>0.5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977"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2147" w:type="dxa"/>
                  <w:tcBorders>
                    <w:tl2br w:val="nil"/>
                    <w:tr2bl w:val="nil"/>
                  </w:tcBorders>
                  <w:shd w:val="clear" w:color="auto" w:fill="auto"/>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kern w:val="2"/>
                      <w:sz w:val="21"/>
                      <w:szCs w:val="21"/>
                      <w:highlight w:val="none"/>
                    </w:rPr>
                    <w:t>洗</w:t>
                  </w:r>
                  <w:r>
                    <w:rPr>
                      <w:rFonts w:hint="default" w:ascii="Times New Roman" w:hAnsi="Times New Roman" w:cs="Times New Roman"/>
                      <w:color w:val="auto"/>
                      <w:kern w:val="2"/>
                      <w:sz w:val="21"/>
                      <w:szCs w:val="21"/>
                      <w:highlight w:val="none"/>
                      <w:lang w:val="en-US" w:eastAsia="zh-CN"/>
                    </w:rPr>
                    <w:t>桶</w:t>
                  </w:r>
                  <w:r>
                    <w:rPr>
                      <w:rFonts w:hint="default" w:ascii="Times New Roman" w:hAnsi="Times New Roman" w:cs="Times New Roman"/>
                      <w:color w:val="auto"/>
                      <w:kern w:val="2"/>
                      <w:sz w:val="21"/>
                      <w:szCs w:val="21"/>
                      <w:highlight w:val="none"/>
                    </w:rPr>
                    <w:t>残渣</w:t>
                  </w:r>
                </w:p>
              </w:tc>
              <w:tc>
                <w:tcPr>
                  <w:tcW w:w="1168"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1"/>
                      <w:highlight w:val="none"/>
                    </w:rPr>
                    <w:t>0.2</w:t>
                  </w:r>
                </w:p>
              </w:tc>
              <w:tc>
                <w:tcPr>
                  <w:tcW w:w="1894"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2053"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1"/>
                      <w:highlight w:val="none"/>
                    </w:rPr>
                    <w:t>0.2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977"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2147" w:type="dxa"/>
                  <w:tcBorders>
                    <w:tl2br w:val="nil"/>
                    <w:tr2bl w:val="nil"/>
                  </w:tcBorders>
                  <w:shd w:val="clear" w:color="auto" w:fill="auto"/>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kern w:val="2"/>
                      <w:sz w:val="21"/>
                      <w:szCs w:val="21"/>
                      <w:highlight w:val="none"/>
                    </w:rPr>
                    <w:t>化学品废包装容器</w:t>
                  </w:r>
                </w:p>
              </w:tc>
              <w:tc>
                <w:tcPr>
                  <w:tcW w:w="1168"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1"/>
                      <w:highlight w:val="none"/>
                    </w:rPr>
                    <w:t>1</w:t>
                  </w:r>
                </w:p>
              </w:tc>
              <w:tc>
                <w:tcPr>
                  <w:tcW w:w="1894"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2053"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1"/>
                      <w:highlight w:val="none"/>
                    </w:rPr>
                    <w:t>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977"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2147" w:type="dxa"/>
                  <w:tcBorders>
                    <w:tl2br w:val="nil"/>
                    <w:tr2bl w:val="nil"/>
                  </w:tcBorders>
                  <w:shd w:val="clear" w:color="auto" w:fill="auto"/>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kern w:val="2"/>
                      <w:sz w:val="21"/>
                      <w:szCs w:val="21"/>
                      <w:highlight w:val="none"/>
                    </w:rPr>
                    <w:t>废机油</w:t>
                  </w:r>
                </w:p>
              </w:tc>
              <w:tc>
                <w:tcPr>
                  <w:tcW w:w="1168"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1"/>
                      <w:highlight w:val="none"/>
                    </w:rPr>
                    <w:t>0.1</w:t>
                  </w:r>
                </w:p>
              </w:tc>
              <w:tc>
                <w:tcPr>
                  <w:tcW w:w="1894"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2053"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1"/>
                      <w:highlight w:val="none"/>
                    </w:rPr>
                    <w:t>0.1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977"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2147" w:type="dxa"/>
                  <w:tcBorders>
                    <w:tl2br w:val="nil"/>
                    <w:tr2bl w:val="nil"/>
                  </w:tcBorders>
                  <w:shd w:val="clear" w:color="auto" w:fill="auto"/>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kern w:val="2"/>
                      <w:sz w:val="21"/>
                      <w:szCs w:val="21"/>
                      <w:highlight w:val="none"/>
                      <w:lang w:val="en-US" w:eastAsia="zh-CN"/>
                    </w:rPr>
                    <w:t>DMF废液</w:t>
                  </w:r>
                </w:p>
              </w:tc>
              <w:tc>
                <w:tcPr>
                  <w:tcW w:w="1168"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1"/>
                      <w:highlight w:val="none"/>
                      <w:lang w:val="en-US" w:eastAsia="zh-CN"/>
                    </w:rPr>
                    <w:t>8251.2</w:t>
                  </w:r>
                </w:p>
              </w:tc>
              <w:tc>
                <w:tcPr>
                  <w:tcW w:w="1894"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8251.2</w:t>
                  </w:r>
                </w:p>
              </w:tc>
              <w:tc>
                <w:tcPr>
                  <w:tcW w:w="2053"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3" w:type="dxa"/>
                  <w:vMerge w:val="continue"/>
                  <w:tcBorders>
                    <w:tl2br w:val="nil"/>
                    <w:tr2bl w:val="nil"/>
                  </w:tcBorders>
                  <w:shd w:val="clear" w:color="auto" w:fill="auto"/>
                  <w:vAlign w:val="center"/>
                </w:tcPr>
                <w:p>
                  <w:pPr>
                    <w:pStyle w:val="16"/>
                    <w:rPr>
                      <w:rFonts w:hint="default" w:ascii="Times New Roman" w:hAnsi="Times New Roman" w:cs="Times New Roman"/>
                      <w:color w:val="auto"/>
                      <w:highlight w:val="none"/>
                    </w:rPr>
                  </w:pPr>
                </w:p>
              </w:tc>
              <w:tc>
                <w:tcPr>
                  <w:tcW w:w="3124" w:type="dxa"/>
                  <w:gridSpan w:val="2"/>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生活垃圾</w:t>
                  </w:r>
                </w:p>
              </w:tc>
              <w:tc>
                <w:tcPr>
                  <w:tcW w:w="1168" w:type="dxa"/>
                  <w:tcBorders>
                    <w:tl2br w:val="nil"/>
                    <w:tr2bl w:val="nil"/>
                  </w:tcBorders>
                  <w:shd w:val="clear" w:color="auto" w:fill="auto"/>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18</w:t>
                  </w:r>
                </w:p>
              </w:tc>
              <w:tc>
                <w:tcPr>
                  <w:tcW w:w="1894"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0</w:t>
                  </w:r>
                </w:p>
              </w:tc>
              <w:tc>
                <w:tcPr>
                  <w:tcW w:w="2053" w:type="dxa"/>
                  <w:tcBorders>
                    <w:tl2br w:val="nil"/>
                    <w:tr2bl w:val="nil"/>
                  </w:tcBorders>
                  <w:shd w:val="clear" w:color="auto" w:fill="auto"/>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18</w:t>
                  </w:r>
                </w:p>
              </w:tc>
            </w:tr>
          </w:tbl>
          <w:p>
            <w:pPr>
              <w:pStyle w:val="16"/>
              <w:rPr>
                <w:rFonts w:hint="default" w:ascii="Times New Roman" w:hAnsi="Times New Roman" w:cs="Times New Roman"/>
                <w:color w:val="auto"/>
                <w:highlight w:val="none"/>
                <w:lang w:val="en-US" w:eastAsia="zh-CN"/>
              </w:rPr>
            </w:pPr>
          </w:p>
          <w:p>
            <w:pPr>
              <w:pStyle w:val="2"/>
              <w:numPr>
                <w:ilvl w:val="1"/>
                <w:numId w:val="6"/>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“三本帐”核算</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本项目建成后全厂污染物排放三本账统计情况见下表</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其中本项目废气污染物已计入“以新带老”削减</w:t>
            </w:r>
            <w:r>
              <w:rPr>
                <w:rFonts w:hint="default" w:ascii="Times New Roman" w:hAnsi="Times New Roman" w:cs="Times New Roman"/>
                <w:color w:val="auto"/>
                <w:highlight w:val="none"/>
              </w:rPr>
              <w:t>。</w:t>
            </w:r>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val="en-US" w:eastAsia="zh-CN"/>
              </w:rPr>
              <w:t>建设</w:t>
            </w:r>
            <w:r>
              <w:rPr>
                <w:rFonts w:hint="default" w:ascii="Times New Roman" w:hAnsi="Times New Roman" w:cs="Times New Roman"/>
                <w:color w:val="auto"/>
                <w:highlight w:val="none"/>
              </w:rPr>
              <w:t>前后</w:t>
            </w:r>
            <w:r>
              <w:rPr>
                <w:rFonts w:hint="default" w:ascii="Times New Roman" w:hAnsi="Times New Roman" w:eastAsia="宋体" w:cs="Times New Roman"/>
                <w:color w:val="auto"/>
                <w:highlight w:val="none"/>
                <w:lang w:val="en-US" w:eastAsia="zh-CN"/>
              </w:rPr>
              <w:t>污染物</w:t>
            </w:r>
            <w:r>
              <w:rPr>
                <w:rFonts w:hint="default" w:ascii="Times New Roman" w:hAnsi="Times New Roman" w:cs="Times New Roman"/>
                <w:color w:val="auto"/>
                <w:highlight w:val="none"/>
              </w:rPr>
              <w:t>排放“三本账”核算一览表</w:t>
            </w:r>
          </w:p>
          <w:tbl>
            <w:tblPr>
              <w:tblStyle w:val="11"/>
              <w:tblW w:w="901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347"/>
              <w:gridCol w:w="1445"/>
              <w:gridCol w:w="1339"/>
              <w:gridCol w:w="1174"/>
              <w:gridCol w:w="1340"/>
              <w:gridCol w:w="147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污染源</w:t>
                  </w:r>
                </w:p>
              </w:tc>
              <w:tc>
                <w:tcPr>
                  <w:tcW w:w="1347"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污染物</w:t>
                  </w:r>
                </w:p>
              </w:tc>
              <w:tc>
                <w:tcPr>
                  <w:tcW w:w="1445"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现有工程</w:t>
                  </w:r>
                </w:p>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排放量t/a</w:t>
                  </w:r>
                </w:p>
              </w:tc>
              <w:tc>
                <w:tcPr>
                  <w:tcW w:w="1339"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
                    </w:rPr>
                    <w:t>本次</w:t>
                  </w:r>
                  <w:r>
                    <w:rPr>
                      <w:rFonts w:hint="default" w:ascii="Times New Roman" w:hAnsi="Times New Roman" w:cs="Times New Roman"/>
                      <w:color w:val="auto"/>
                      <w:kern w:val="2"/>
                      <w:sz w:val="21"/>
                      <w:szCs w:val="21"/>
                      <w:highlight w:val="none"/>
                      <w:lang w:bidi="ar"/>
                    </w:rPr>
                    <w:t>工程排放量t/a</w:t>
                  </w:r>
                </w:p>
              </w:tc>
              <w:tc>
                <w:tcPr>
                  <w:tcW w:w="1174"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bidi="ar"/>
                    </w:rPr>
                    <w:t>以新带老削减量t/a</w:t>
                  </w:r>
                </w:p>
              </w:tc>
              <w:tc>
                <w:tcPr>
                  <w:tcW w:w="1340"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总体工程</w:t>
                  </w:r>
                </w:p>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排放量t/a</w:t>
                  </w:r>
                </w:p>
              </w:tc>
              <w:tc>
                <w:tcPr>
                  <w:tcW w:w="1473"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排放增减量t/a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vMerge w:val="restart"/>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废气</w:t>
                  </w:r>
                </w:p>
              </w:tc>
              <w:tc>
                <w:tcPr>
                  <w:tcW w:w="1347"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苯</w:t>
                  </w:r>
                </w:p>
              </w:tc>
              <w:tc>
                <w:tcPr>
                  <w:tcW w:w="1445"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0.0051 </w:t>
                  </w:r>
                </w:p>
              </w:tc>
              <w:tc>
                <w:tcPr>
                  <w:tcW w:w="1339" w:type="dxa"/>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0</w:t>
                  </w:r>
                </w:p>
              </w:tc>
              <w:tc>
                <w:tcPr>
                  <w:tcW w:w="1174"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0.0002 </w:t>
                  </w:r>
                </w:p>
              </w:tc>
              <w:tc>
                <w:tcPr>
                  <w:tcW w:w="1340"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0.0049 </w:t>
                  </w:r>
                </w:p>
              </w:tc>
              <w:tc>
                <w:tcPr>
                  <w:tcW w:w="1473"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-0.0002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vMerge w:val="continue"/>
                  <w:tcBorders>
                    <w:tl2br w:val="nil"/>
                    <w:tr2bl w:val="nil"/>
                  </w:tcBorders>
                  <w:shd w:val="clear" w:color="auto" w:fill="auto"/>
                  <w:vAlign w:val="center"/>
                </w:tcPr>
                <w:p>
                  <w:pPr>
                    <w:rPr>
                      <w:rFonts w:hint="default" w:ascii="Times New Roman" w:hAnsi="Times New Roman" w:cs="Times New Roman"/>
                      <w:color w:val="auto"/>
                      <w:szCs w:val="21"/>
                      <w:highlight w:val="none"/>
                    </w:rPr>
                  </w:pPr>
                </w:p>
              </w:tc>
              <w:tc>
                <w:tcPr>
                  <w:tcW w:w="1347"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甲苯</w:t>
                  </w:r>
                </w:p>
              </w:tc>
              <w:tc>
                <w:tcPr>
                  <w:tcW w:w="1445"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0.0920 </w:t>
                  </w:r>
                </w:p>
              </w:tc>
              <w:tc>
                <w:tcPr>
                  <w:tcW w:w="1339" w:type="dxa"/>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0</w:t>
                  </w:r>
                </w:p>
              </w:tc>
              <w:tc>
                <w:tcPr>
                  <w:tcW w:w="1174"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0.0039 </w:t>
                  </w:r>
                </w:p>
              </w:tc>
              <w:tc>
                <w:tcPr>
                  <w:tcW w:w="1340"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0.0881 </w:t>
                  </w:r>
                </w:p>
              </w:tc>
              <w:tc>
                <w:tcPr>
                  <w:tcW w:w="1473"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-0.0039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vMerge w:val="continue"/>
                  <w:tcBorders>
                    <w:tl2br w:val="nil"/>
                    <w:tr2bl w:val="nil"/>
                  </w:tcBorders>
                  <w:shd w:val="clear" w:color="auto" w:fill="auto"/>
                  <w:vAlign w:val="center"/>
                </w:tcPr>
                <w:p>
                  <w:pPr>
                    <w:rPr>
                      <w:rFonts w:hint="default" w:ascii="Times New Roman" w:hAnsi="Times New Roman" w:cs="Times New Roman"/>
                      <w:color w:val="auto"/>
                      <w:szCs w:val="21"/>
                      <w:highlight w:val="none"/>
                    </w:rPr>
                  </w:pPr>
                </w:p>
              </w:tc>
              <w:tc>
                <w:tcPr>
                  <w:tcW w:w="1347"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二甲苯</w:t>
                  </w:r>
                </w:p>
              </w:tc>
              <w:tc>
                <w:tcPr>
                  <w:tcW w:w="1445"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0.0791 </w:t>
                  </w:r>
                </w:p>
              </w:tc>
              <w:tc>
                <w:tcPr>
                  <w:tcW w:w="1339" w:type="dxa"/>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0</w:t>
                  </w:r>
                </w:p>
              </w:tc>
              <w:tc>
                <w:tcPr>
                  <w:tcW w:w="1174"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0.0139 </w:t>
                  </w:r>
                </w:p>
              </w:tc>
              <w:tc>
                <w:tcPr>
                  <w:tcW w:w="1340"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0.0652 </w:t>
                  </w:r>
                </w:p>
              </w:tc>
              <w:tc>
                <w:tcPr>
                  <w:tcW w:w="1473"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-0.0139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vMerge w:val="continue"/>
                  <w:tcBorders>
                    <w:tl2br w:val="nil"/>
                    <w:tr2bl w:val="nil"/>
                  </w:tcBorders>
                  <w:shd w:val="clear" w:color="auto" w:fill="auto"/>
                  <w:vAlign w:val="center"/>
                </w:tcPr>
                <w:p>
                  <w:pPr>
                    <w:rPr>
                      <w:rFonts w:hint="default" w:ascii="Times New Roman" w:hAnsi="Times New Roman" w:cs="Times New Roman"/>
                      <w:color w:val="auto"/>
                      <w:szCs w:val="21"/>
                      <w:highlight w:val="none"/>
                    </w:rPr>
                  </w:pPr>
                </w:p>
              </w:tc>
              <w:tc>
                <w:tcPr>
                  <w:tcW w:w="1347"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非甲烷总烃</w:t>
                  </w:r>
                </w:p>
              </w:tc>
              <w:tc>
                <w:tcPr>
                  <w:tcW w:w="1445"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24.2312 </w:t>
                  </w:r>
                </w:p>
              </w:tc>
              <w:tc>
                <w:tcPr>
                  <w:tcW w:w="1339" w:type="dxa"/>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0</w:t>
                  </w:r>
                </w:p>
              </w:tc>
              <w:tc>
                <w:tcPr>
                  <w:tcW w:w="1174"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3.5005 </w:t>
                  </w:r>
                </w:p>
              </w:tc>
              <w:tc>
                <w:tcPr>
                  <w:tcW w:w="1340"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20.7307 </w:t>
                  </w:r>
                </w:p>
              </w:tc>
              <w:tc>
                <w:tcPr>
                  <w:tcW w:w="1473"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-3.5005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vMerge w:val="continue"/>
                  <w:tcBorders>
                    <w:tl2br w:val="nil"/>
                    <w:tr2bl w:val="nil"/>
                  </w:tcBorders>
                  <w:shd w:val="clear" w:color="auto" w:fill="auto"/>
                  <w:vAlign w:val="center"/>
                </w:tcPr>
                <w:p>
                  <w:pPr>
                    <w:rPr>
                      <w:rFonts w:hint="default" w:ascii="Times New Roman" w:hAnsi="Times New Roman" w:cs="Times New Roman"/>
                      <w:color w:val="auto"/>
                      <w:szCs w:val="21"/>
                      <w:highlight w:val="none"/>
                    </w:rPr>
                  </w:pPr>
                </w:p>
              </w:tc>
              <w:tc>
                <w:tcPr>
                  <w:tcW w:w="1347"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DMF</w:t>
                  </w:r>
                </w:p>
              </w:tc>
              <w:tc>
                <w:tcPr>
                  <w:tcW w:w="1445"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szCs w:val="22"/>
                      <w:highlight w:val="none"/>
                      <w:lang w:val="en-US" w:eastAsia="zh-CN"/>
                    </w:rPr>
                  </w:pPr>
                  <w:r>
                    <w:rPr>
                      <w:rFonts w:hint="default" w:ascii="Times New Roman" w:hAnsi="Times New Roman" w:cs="Times New Roman"/>
                      <w:color w:val="auto"/>
                      <w:szCs w:val="22"/>
                      <w:highlight w:val="none"/>
                      <w:lang w:val="en-US" w:eastAsia="zh-CN"/>
                    </w:rPr>
                    <w:t>7.6178</w:t>
                  </w:r>
                  <w:r>
                    <w:rPr>
                      <w:rFonts w:hint="default" w:ascii="Times New Roman" w:hAnsi="Times New Roman" w:eastAsia="宋体" w:cs="Times New Roman"/>
                      <w:color w:val="auto"/>
                      <w:szCs w:val="22"/>
                      <w:highlight w:val="none"/>
                      <w:lang w:val="en-US" w:eastAsia="zh-CN"/>
                    </w:rPr>
                    <w:t xml:space="preserve"> </w:t>
                  </w:r>
                </w:p>
              </w:tc>
              <w:tc>
                <w:tcPr>
                  <w:tcW w:w="1339"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0</w:t>
                  </w:r>
                </w:p>
              </w:tc>
              <w:tc>
                <w:tcPr>
                  <w:tcW w:w="1174"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1.1952 </w:t>
                  </w:r>
                </w:p>
              </w:tc>
              <w:tc>
                <w:tcPr>
                  <w:tcW w:w="1340"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6.4226 </w:t>
                  </w:r>
                </w:p>
              </w:tc>
              <w:tc>
                <w:tcPr>
                  <w:tcW w:w="1473"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-1.1952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vMerge w:val="restart"/>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生活污水</w:t>
                  </w:r>
                </w:p>
              </w:tc>
              <w:tc>
                <w:tcPr>
                  <w:tcW w:w="1347"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废水量</w:t>
                  </w:r>
                </w:p>
              </w:tc>
              <w:tc>
                <w:tcPr>
                  <w:tcW w:w="1445" w:type="dxa"/>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3888</w:t>
                  </w:r>
                </w:p>
              </w:tc>
              <w:tc>
                <w:tcPr>
                  <w:tcW w:w="1339" w:type="dxa"/>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w:t>
                  </w:r>
                </w:p>
              </w:tc>
              <w:tc>
                <w:tcPr>
                  <w:tcW w:w="1174" w:type="dxa"/>
                  <w:tcBorders>
                    <w:tl2br w:val="nil"/>
                    <w:tr2bl w:val="nil"/>
                  </w:tcBorders>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1340"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val="en-US" w:eastAsia="zh-CN" w:bidi="ar"/>
                    </w:rPr>
                    <w:t>3888</w:t>
                  </w:r>
                </w:p>
              </w:tc>
              <w:tc>
                <w:tcPr>
                  <w:tcW w:w="1473" w:type="dxa"/>
                  <w:tcBorders>
                    <w:tl2br w:val="nil"/>
                    <w:tr2bl w:val="nil"/>
                  </w:tcBorders>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vMerge w:val="continue"/>
                  <w:tcBorders>
                    <w:tl2br w:val="nil"/>
                    <w:tr2bl w:val="nil"/>
                  </w:tcBorders>
                  <w:shd w:val="clear" w:color="auto" w:fill="auto"/>
                  <w:vAlign w:val="center"/>
                </w:tcPr>
                <w:p>
                  <w:pPr>
                    <w:rPr>
                      <w:rFonts w:hint="default" w:ascii="Times New Roman" w:hAnsi="Times New Roman" w:cs="Times New Roman"/>
                      <w:color w:val="auto"/>
                      <w:szCs w:val="21"/>
                      <w:highlight w:val="none"/>
                    </w:rPr>
                  </w:pPr>
                </w:p>
              </w:tc>
              <w:tc>
                <w:tcPr>
                  <w:tcW w:w="1347"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CODcr</w:t>
                  </w:r>
                </w:p>
              </w:tc>
              <w:tc>
                <w:tcPr>
                  <w:tcW w:w="1445" w:type="dxa"/>
                  <w:tcBorders>
                    <w:tl2br w:val="nil"/>
                    <w:tr2bl w:val="nil"/>
                  </w:tcBorders>
                  <w:shd w:val="clear" w:color="auto" w:fill="auto"/>
                  <w:vAlign w:val="center"/>
                </w:tcPr>
                <w:p>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2"/>
                      <w:sz w:val="21"/>
                      <w:szCs w:val="21"/>
                      <w:highlight w:val="none"/>
                    </w:rPr>
                    <w:t>1.56</w:t>
                  </w:r>
                </w:p>
              </w:tc>
              <w:tc>
                <w:tcPr>
                  <w:tcW w:w="1339" w:type="dxa"/>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w:t>
                  </w:r>
                </w:p>
              </w:tc>
              <w:tc>
                <w:tcPr>
                  <w:tcW w:w="1174" w:type="dxa"/>
                  <w:tcBorders>
                    <w:tl2br w:val="nil"/>
                    <w:tr2bl w:val="nil"/>
                  </w:tcBorders>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1340" w:type="dxa"/>
                  <w:tcBorders>
                    <w:tl2br w:val="nil"/>
                    <w:tr2bl w:val="nil"/>
                  </w:tcBorders>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2"/>
                      <w:sz w:val="21"/>
                      <w:szCs w:val="21"/>
                      <w:highlight w:val="none"/>
                    </w:rPr>
                    <w:t>1.56</w:t>
                  </w:r>
                </w:p>
              </w:tc>
              <w:tc>
                <w:tcPr>
                  <w:tcW w:w="1473" w:type="dxa"/>
                  <w:tcBorders>
                    <w:tl2br w:val="nil"/>
                    <w:tr2bl w:val="nil"/>
                  </w:tcBorders>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vMerge w:val="continue"/>
                  <w:tcBorders>
                    <w:tl2br w:val="nil"/>
                    <w:tr2bl w:val="nil"/>
                  </w:tcBorders>
                  <w:shd w:val="clear" w:color="auto" w:fill="auto"/>
                  <w:vAlign w:val="center"/>
                </w:tcPr>
                <w:p>
                  <w:pPr>
                    <w:rPr>
                      <w:rFonts w:hint="default" w:ascii="Times New Roman" w:hAnsi="Times New Roman" w:cs="Times New Roman"/>
                      <w:color w:val="auto"/>
                      <w:szCs w:val="21"/>
                      <w:highlight w:val="none"/>
                    </w:rPr>
                  </w:pPr>
                </w:p>
              </w:tc>
              <w:tc>
                <w:tcPr>
                  <w:tcW w:w="1347"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w:t>
                  </w:r>
                </w:p>
              </w:tc>
              <w:tc>
                <w:tcPr>
                  <w:tcW w:w="1445" w:type="dxa"/>
                  <w:tcBorders>
                    <w:tl2br w:val="nil"/>
                    <w:tr2bl w:val="nil"/>
                  </w:tcBorders>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2"/>
                      <w:sz w:val="21"/>
                      <w:szCs w:val="21"/>
                      <w:highlight w:val="none"/>
                    </w:rPr>
                    <w:t>0.97</w:t>
                  </w:r>
                </w:p>
              </w:tc>
              <w:tc>
                <w:tcPr>
                  <w:tcW w:w="1339" w:type="dxa"/>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w:t>
                  </w:r>
                </w:p>
              </w:tc>
              <w:tc>
                <w:tcPr>
                  <w:tcW w:w="1174" w:type="dxa"/>
                  <w:tcBorders>
                    <w:tl2br w:val="nil"/>
                    <w:tr2bl w:val="nil"/>
                  </w:tcBorders>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1340" w:type="dxa"/>
                  <w:tcBorders>
                    <w:tl2br w:val="nil"/>
                    <w:tr2bl w:val="nil"/>
                  </w:tcBorders>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2"/>
                      <w:sz w:val="21"/>
                      <w:szCs w:val="21"/>
                      <w:highlight w:val="none"/>
                    </w:rPr>
                    <w:t>0.97</w:t>
                  </w:r>
                </w:p>
              </w:tc>
              <w:tc>
                <w:tcPr>
                  <w:tcW w:w="1473" w:type="dxa"/>
                  <w:tcBorders>
                    <w:tl2br w:val="nil"/>
                    <w:tr2bl w:val="nil"/>
                  </w:tcBorders>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vMerge w:val="continue"/>
                  <w:tcBorders>
                    <w:tl2br w:val="nil"/>
                    <w:tr2bl w:val="nil"/>
                  </w:tcBorders>
                  <w:shd w:val="clear" w:color="auto" w:fill="auto"/>
                  <w:vAlign w:val="center"/>
                </w:tcPr>
                <w:p>
                  <w:pPr>
                    <w:rPr>
                      <w:rFonts w:hint="default" w:ascii="Times New Roman" w:hAnsi="Times New Roman" w:cs="Times New Roman"/>
                      <w:color w:val="auto"/>
                      <w:szCs w:val="21"/>
                      <w:highlight w:val="none"/>
                    </w:rPr>
                  </w:pPr>
                </w:p>
              </w:tc>
              <w:tc>
                <w:tcPr>
                  <w:tcW w:w="1347"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sz w:val="21"/>
                      <w:highlight w:val="none"/>
                    </w:rPr>
                  </w:pPr>
                  <w:r>
                    <w:rPr>
                      <w:rFonts w:hint="default" w:ascii="Times New Roman" w:hAnsi="Times New Roman" w:cs="Times New Roman"/>
                      <w:color w:val="auto"/>
                      <w:highlight w:val="none"/>
                    </w:rPr>
                    <w:t>SS</w:t>
                  </w:r>
                </w:p>
              </w:tc>
              <w:tc>
                <w:tcPr>
                  <w:tcW w:w="1445" w:type="dxa"/>
                  <w:tcBorders>
                    <w:tl2br w:val="nil"/>
                    <w:tr2bl w:val="nil"/>
                  </w:tcBorders>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2"/>
                      <w:sz w:val="21"/>
                      <w:szCs w:val="21"/>
                      <w:highlight w:val="none"/>
                    </w:rPr>
                    <w:t>0.136</w:t>
                  </w:r>
                </w:p>
              </w:tc>
              <w:tc>
                <w:tcPr>
                  <w:tcW w:w="1339" w:type="dxa"/>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w:t>
                  </w:r>
                </w:p>
              </w:tc>
              <w:tc>
                <w:tcPr>
                  <w:tcW w:w="1174" w:type="dxa"/>
                  <w:tcBorders>
                    <w:tl2br w:val="nil"/>
                    <w:tr2bl w:val="nil"/>
                  </w:tcBorders>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1340" w:type="dxa"/>
                  <w:tcBorders>
                    <w:tl2br w:val="nil"/>
                    <w:tr2bl w:val="nil"/>
                  </w:tcBorders>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2"/>
                      <w:sz w:val="21"/>
                      <w:szCs w:val="21"/>
                      <w:highlight w:val="none"/>
                    </w:rPr>
                    <w:t>0.136</w:t>
                  </w:r>
                </w:p>
              </w:tc>
              <w:tc>
                <w:tcPr>
                  <w:tcW w:w="1473" w:type="dxa"/>
                  <w:tcBorders>
                    <w:tl2br w:val="nil"/>
                    <w:tr2bl w:val="nil"/>
                  </w:tcBorders>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vMerge w:val="restart"/>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固体废物</w:t>
                  </w:r>
                </w:p>
              </w:tc>
              <w:tc>
                <w:tcPr>
                  <w:tcW w:w="1347"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污染物</w:t>
                  </w:r>
                </w:p>
              </w:tc>
              <w:tc>
                <w:tcPr>
                  <w:tcW w:w="1445"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bidi="ar"/>
                    </w:rPr>
                    <w:t>现有工程产生量t/a</w:t>
                  </w:r>
                </w:p>
              </w:tc>
              <w:tc>
                <w:tcPr>
                  <w:tcW w:w="1339"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
                    </w:rPr>
                    <w:t>本次</w:t>
                  </w:r>
                  <w:r>
                    <w:rPr>
                      <w:rFonts w:hint="default" w:ascii="Times New Roman" w:hAnsi="Times New Roman" w:cs="Times New Roman"/>
                      <w:color w:val="auto"/>
                      <w:kern w:val="2"/>
                      <w:sz w:val="21"/>
                      <w:szCs w:val="21"/>
                      <w:highlight w:val="none"/>
                      <w:lang w:bidi="ar"/>
                    </w:rPr>
                    <w:t>工程产生量t/a</w:t>
                  </w:r>
                </w:p>
              </w:tc>
              <w:tc>
                <w:tcPr>
                  <w:tcW w:w="1174"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bidi="ar"/>
                    </w:rPr>
                    <w:t>以新带老削减量t/a</w:t>
                  </w:r>
                </w:p>
              </w:tc>
              <w:tc>
                <w:tcPr>
                  <w:tcW w:w="1340"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bidi="ar"/>
                    </w:rPr>
                    <w:t>总体工程产生量t/a</w:t>
                  </w:r>
                </w:p>
              </w:tc>
              <w:tc>
                <w:tcPr>
                  <w:tcW w:w="1473"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bidi="ar"/>
                    </w:rPr>
                    <w:t>产生增减量t/a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vMerge w:val="continue"/>
                  <w:tcBorders>
                    <w:tl2br w:val="nil"/>
                    <w:tr2bl w:val="nil"/>
                  </w:tcBorders>
                  <w:shd w:val="clear" w:color="auto" w:fill="auto"/>
                  <w:vAlign w:val="center"/>
                </w:tcPr>
                <w:p>
                  <w:pPr>
                    <w:rPr>
                      <w:rFonts w:hint="default" w:ascii="Times New Roman" w:hAnsi="Times New Roman" w:cs="Times New Roman"/>
                      <w:color w:val="auto"/>
                      <w:szCs w:val="21"/>
                      <w:highlight w:val="none"/>
                    </w:rPr>
                  </w:pPr>
                </w:p>
              </w:tc>
              <w:tc>
                <w:tcPr>
                  <w:tcW w:w="1347"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一般固废</w:t>
                  </w:r>
                </w:p>
              </w:tc>
              <w:tc>
                <w:tcPr>
                  <w:tcW w:w="1445"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sz w:val="22"/>
                      <w:szCs w:val="22"/>
                      <w:highlight w:val="none"/>
                    </w:rPr>
                  </w:pPr>
                  <w:r>
                    <w:rPr>
                      <w:rFonts w:hint="default" w:ascii="Times New Roman" w:hAnsi="Times New Roman" w:cs="Times New Roman"/>
                      <w:color w:val="auto"/>
                      <w:highlight w:val="none"/>
                      <w:lang w:val="en-US" w:eastAsia="zh-CN"/>
                    </w:rPr>
                    <w:t>27</w:t>
                  </w:r>
                </w:p>
              </w:tc>
              <w:tc>
                <w:tcPr>
                  <w:tcW w:w="1339"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lang w:val="en-US" w:eastAsia="zh-CN"/>
                    </w:rPr>
                    <w:t>0</w:t>
                  </w:r>
                </w:p>
              </w:tc>
              <w:tc>
                <w:tcPr>
                  <w:tcW w:w="1174"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0</w:t>
                  </w:r>
                </w:p>
              </w:tc>
              <w:tc>
                <w:tcPr>
                  <w:tcW w:w="1340" w:type="dxa"/>
                  <w:tcBorders>
                    <w:tl2br w:val="nil"/>
                    <w:tr2bl w:val="nil"/>
                  </w:tcBorders>
                  <w:shd w:val="clear" w:color="auto" w:fill="auto"/>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27</w:t>
                  </w:r>
                </w:p>
              </w:tc>
              <w:tc>
                <w:tcPr>
                  <w:tcW w:w="1473" w:type="dxa"/>
                  <w:tcBorders>
                    <w:tl2br w:val="nil"/>
                    <w:tr2bl w:val="nil"/>
                  </w:tcBorders>
                  <w:shd w:val="clear" w:color="auto" w:fill="auto"/>
                  <w:vAlign w:val="center"/>
                </w:tcPr>
                <w:p>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vMerge w:val="continue"/>
                  <w:tcBorders>
                    <w:tl2br w:val="nil"/>
                    <w:tr2bl w:val="nil"/>
                  </w:tcBorders>
                  <w:shd w:val="clear" w:color="auto" w:fill="auto"/>
                  <w:vAlign w:val="center"/>
                </w:tcPr>
                <w:p>
                  <w:pPr>
                    <w:rPr>
                      <w:rFonts w:hint="default" w:ascii="Times New Roman" w:hAnsi="Times New Roman" w:cs="Times New Roman"/>
                      <w:color w:val="auto"/>
                      <w:szCs w:val="21"/>
                      <w:highlight w:val="none"/>
                    </w:rPr>
                  </w:pPr>
                </w:p>
              </w:tc>
              <w:tc>
                <w:tcPr>
                  <w:tcW w:w="1347"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危险废物</w:t>
                  </w:r>
                </w:p>
              </w:tc>
              <w:tc>
                <w:tcPr>
                  <w:tcW w:w="1445"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highlight w:val="none"/>
                      <w:lang w:val="en-US" w:eastAsia="zh-CN"/>
                    </w:rPr>
                    <w:t>8253</w:t>
                  </w:r>
                </w:p>
              </w:tc>
              <w:tc>
                <w:tcPr>
                  <w:tcW w:w="1339"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50.</w:t>
                  </w:r>
                  <w:r>
                    <w:rPr>
                      <w:rFonts w:hint="eastAsia" w:ascii="Times New Roman" w:hAnsi="Times New Roman" w:cs="Times New Roman"/>
                      <w:color w:val="auto"/>
                      <w:kern w:val="0"/>
                      <w:szCs w:val="21"/>
                      <w:highlight w:val="none"/>
                      <w:lang w:val="en-US" w:eastAsia="zh-CN"/>
                    </w:rPr>
                    <w:t>396</w:t>
                  </w:r>
                </w:p>
              </w:tc>
              <w:tc>
                <w:tcPr>
                  <w:tcW w:w="1174"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-8251.2</w:t>
                  </w:r>
                </w:p>
              </w:tc>
              <w:tc>
                <w:tcPr>
                  <w:tcW w:w="1340" w:type="dxa"/>
                  <w:tcBorders>
                    <w:tl2br w:val="nil"/>
                    <w:tr2bl w:val="nil"/>
                  </w:tcBorders>
                  <w:shd w:val="clear" w:color="auto" w:fill="auto"/>
                  <w:vAlign w:val="center"/>
                </w:tcPr>
                <w:p>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5</w:t>
                  </w:r>
                  <w:r>
                    <w:rPr>
                      <w:rFonts w:hint="eastAsia" w:ascii="Times New Roman" w:hAnsi="Times New Roman" w:cs="Times New Roman"/>
                      <w:color w:val="auto"/>
                      <w:kern w:val="0"/>
                      <w:szCs w:val="21"/>
                      <w:highlight w:val="none"/>
                      <w:lang w:val="en-US" w:eastAsia="zh-CN"/>
                    </w:rPr>
                    <w:t>2.196</w:t>
                  </w:r>
                </w:p>
              </w:tc>
              <w:tc>
                <w:tcPr>
                  <w:tcW w:w="1473" w:type="dxa"/>
                  <w:tcBorders>
                    <w:tl2br w:val="nil"/>
                    <w:tr2bl w:val="nil"/>
                  </w:tcBorders>
                  <w:shd w:val="clear" w:color="auto" w:fill="auto"/>
                  <w:vAlign w:val="center"/>
                </w:tcPr>
                <w:p>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w:t>
                  </w:r>
                  <w:r>
                    <w:rPr>
                      <w:rFonts w:hint="eastAsia" w:ascii="Times New Roman" w:hAnsi="Times New Roman" w:cs="Times New Roman"/>
                      <w:color w:val="auto"/>
                      <w:kern w:val="0"/>
                      <w:szCs w:val="21"/>
                      <w:highlight w:val="none"/>
                      <w:lang w:val="en-US" w:eastAsia="zh-CN"/>
                    </w:rPr>
                    <w:t>8202.804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 w:type="dxa"/>
                  <w:vMerge w:val="continue"/>
                  <w:tcBorders>
                    <w:tl2br w:val="nil"/>
                    <w:tr2bl w:val="nil"/>
                  </w:tcBorders>
                  <w:shd w:val="clear" w:color="auto" w:fill="auto"/>
                  <w:vAlign w:val="center"/>
                </w:tcPr>
                <w:p>
                  <w:pPr>
                    <w:rPr>
                      <w:rFonts w:hint="default" w:ascii="Times New Roman" w:hAnsi="Times New Roman" w:cs="Times New Roman"/>
                      <w:color w:val="auto"/>
                      <w:szCs w:val="21"/>
                      <w:highlight w:val="none"/>
                    </w:rPr>
                  </w:pPr>
                </w:p>
              </w:tc>
              <w:tc>
                <w:tcPr>
                  <w:tcW w:w="1347" w:type="dxa"/>
                  <w:tcBorders>
                    <w:tl2br w:val="nil"/>
                    <w:tr2bl w:val="nil"/>
                  </w:tcBorders>
                  <w:shd w:val="clear" w:color="auto" w:fill="auto"/>
                  <w:vAlign w:val="center"/>
                </w:tcPr>
                <w:p>
                  <w:pPr>
                    <w:widowControl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bidi="ar"/>
                    </w:rPr>
                    <w:t>生活垃圾</w:t>
                  </w:r>
                </w:p>
              </w:tc>
              <w:tc>
                <w:tcPr>
                  <w:tcW w:w="1445"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highlight w:val="none"/>
                      <w:lang w:val="en-US" w:eastAsia="zh-CN"/>
                    </w:rPr>
                    <w:t>18</w:t>
                  </w:r>
                </w:p>
              </w:tc>
              <w:tc>
                <w:tcPr>
                  <w:tcW w:w="1339" w:type="dxa"/>
                  <w:tcBorders>
                    <w:tl2br w:val="nil"/>
                    <w:tr2bl w:val="nil"/>
                  </w:tcBorders>
                  <w:shd w:val="clear" w:color="auto" w:fill="auto"/>
                  <w:vAlign w:val="center"/>
                </w:tcPr>
                <w:p>
                  <w:pPr>
                    <w:pStyle w:val="16"/>
                    <w:ind w:left="0" w:leftChars="0" w:firstLine="0" w:firstLineChars="0"/>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w:t>
                  </w:r>
                </w:p>
              </w:tc>
              <w:tc>
                <w:tcPr>
                  <w:tcW w:w="1174"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lang w:val="en-US" w:eastAsia="zh-CN"/>
                    </w:rPr>
                    <w:t>0</w:t>
                  </w:r>
                </w:p>
              </w:tc>
              <w:tc>
                <w:tcPr>
                  <w:tcW w:w="1340" w:type="dxa"/>
                  <w:tcBorders>
                    <w:tl2br w:val="nil"/>
                    <w:tr2bl w:val="nil"/>
                  </w:tcBorders>
                  <w:shd w:val="clear" w:color="auto" w:fill="auto"/>
                  <w:vAlign w:val="center"/>
                </w:tcPr>
                <w:p>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18</w:t>
                  </w:r>
                </w:p>
              </w:tc>
              <w:tc>
                <w:tcPr>
                  <w:tcW w:w="1473" w:type="dxa"/>
                  <w:tcBorders>
                    <w:tl2br w:val="nil"/>
                    <w:tr2bl w:val="nil"/>
                  </w:tcBorders>
                  <w:shd w:val="clear" w:color="auto" w:fill="auto"/>
                  <w:vAlign w:val="center"/>
                </w:tcPr>
                <w:p>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w:t>
                  </w:r>
                </w:p>
              </w:tc>
            </w:tr>
          </w:tbl>
          <w:p>
            <w:pPr>
              <w:pStyle w:val="5"/>
              <w:ind w:firstLine="0" w:firstLineChars="0"/>
              <w:rPr>
                <w:rFonts w:hint="default" w:ascii="Times New Roman" w:hAnsi="Times New Roman" w:cs="Times New Roman"/>
                <w:color w:val="auto"/>
                <w:highlight w:val="none"/>
              </w:rPr>
            </w:pPr>
          </w:p>
        </w:tc>
      </w:tr>
    </w:tbl>
    <w:p>
      <w:pPr>
        <w:jc w:val="center"/>
        <w:rPr>
          <w:rFonts w:hint="default" w:ascii="Times New Roman" w:hAnsi="Times New Roman" w:eastAsia="黑体" w:cs="Times New Roman"/>
          <w:snapToGrid w:val="0"/>
          <w:color w:val="auto"/>
          <w:sz w:val="36"/>
          <w:szCs w:val="36"/>
          <w:highlight w:val="none"/>
        </w:rPr>
        <w:sectPr>
          <w:pgSz w:w="11905" w:h="16838"/>
          <w:pgMar w:top="1417" w:right="1417" w:bottom="1417" w:left="1417" w:header="851" w:footer="1077" w:gutter="0"/>
          <w:pgBorders>
            <w:top w:val="none" w:sz="0" w:space="0"/>
            <w:left w:val="none" w:sz="0" w:space="0"/>
            <w:bottom w:val="none" w:sz="0" w:space="0"/>
            <w:right w:val="none" w:sz="0" w:space="0"/>
          </w:pgBorders>
          <w:pgNumType w:fmt="numberInDash"/>
          <w:cols w:space="0" w:num="1"/>
          <w:docGrid w:linePitch="312" w:charSpace="0"/>
        </w:sectPr>
      </w:pPr>
    </w:p>
    <w:p>
      <w:pPr>
        <w:pStyle w:val="1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现有工程存在的问题及整改措施</w:t>
      </w:r>
    </w:p>
    <w:tbl>
      <w:tblPr>
        <w:tblStyle w:val="12"/>
        <w:tblW w:w="142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092"/>
        <w:gridCol w:w="2460"/>
        <w:gridCol w:w="3260"/>
        <w:gridCol w:w="63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环境要素</w:t>
            </w:r>
          </w:p>
        </w:tc>
        <w:tc>
          <w:tcPr>
            <w:tcW w:w="1092"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工段</w:t>
            </w:r>
          </w:p>
        </w:tc>
        <w:tc>
          <w:tcPr>
            <w:tcW w:w="2460"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已采取环保措施</w:t>
            </w:r>
          </w:p>
        </w:tc>
        <w:tc>
          <w:tcPr>
            <w:tcW w:w="3260"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存在的环保问题</w:t>
            </w:r>
          </w:p>
        </w:tc>
        <w:tc>
          <w:tcPr>
            <w:tcW w:w="6305"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整改措施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vMerge w:val="restart"/>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废气</w:t>
            </w:r>
          </w:p>
        </w:tc>
        <w:tc>
          <w:tcPr>
            <w:tcW w:w="1092" w:type="dxa"/>
            <w:vMerge w:val="restart"/>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排气筒</w:t>
            </w:r>
          </w:p>
        </w:tc>
        <w:tc>
          <w:tcPr>
            <w:tcW w:w="2460"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各排气筒均为1</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m高</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直径0.8m</w:t>
            </w:r>
          </w:p>
        </w:tc>
        <w:tc>
          <w:tcPr>
            <w:tcW w:w="3260"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排气筒</w:t>
            </w:r>
            <w:r>
              <w:rPr>
                <w:rFonts w:hint="default" w:ascii="Times New Roman" w:hAnsi="Times New Roman" w:cs="Times New Roman"/>
                <w:color w:val="auto"/>
                <w:highlight w:val="none"/>
                <w:lang w:val="en-US" w:eastAsia="zh-CN"/>
              </w:rPr>
              <w:t>已</w:t>
            </w:r>
            <w:r>
              <w:rPr>
                <w:rFonts w:hint="default" w:ascii="Times New Roman" w:hAnsi="Times New Roman" w:cs="Times New Roman"/>
                <w:color w:val="auto"/>
                <w:highlight w:val="none"/>
              </w:rPr>
              <w:t>按规范监测孔，</w:t>
            </w:r>
            <w:r>
              <w:rPr>
                <w:rFonts w:hint="default" w:ascii="Times New Roman" w:hAnsi="Times New Roman" w:cs="Times New Roman"/>
                <w:color w:val="auto"/>
                <w:highlight w:val="none"/>
                <w:lang w:val="en-US" w:eastAsia="zh-CN"/>
              </w:rPr>
              <w:t>但监测孔未封闭，</w:t>
            </w:r>
            <w:r>
              <w:rPr>
                <w:rFonts w:hint="default" w:ascii="Times New Roman" w:hAnsi="Times New Roman" w:cs="Times New Roman"/>
                <w:color w:val="auto"/>
                <w:highlight w:val="none"/>
              </w:rPr>
              <w:t>未设置规范化排污口标识</w:t>
            </w:r>
          </w:p>
        </w:tc>
        <w:tc>
          <w:tcPr>
            <w:tcW w:w="6305"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排气筒按《关于开展排放口规范化整治工作的通知》（环发〔1999〕24号）、《排污口规范化整治技术要求（试行）》（环监〔1996〕470号）、《环境保护图形标志》等文件要求，</w:t>
            </w:r>
            <w:r>
              <w:rPr>
                <w:rFonts w:hint="default" w:ascii="Times New Roman" w:hAnsi="Times New Roman" w:cs="Times New Roman"/>
                <w:color w:val="auto"/>
                <w:highlight w:val="none"/>
                <w:lang w:val="en-US" w:eastAsia="zh-CN"/>
              </w:rPr>
              <w:t>规范设置</w:t>
            </w:r>
            <w:r>
              <w:rPr>
                <w:rFonts w:hint="default" w:ascii="Times New Roman" w:hAnsi="Times New Roman" w:cs="Times New Roman"/>
                <w:color w:val="auto"/>
                <w:highlight w:val="none"/>
              </w:rPr>
              <w:t>排污口标识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按照《</w:t>
            </w: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HYPERLINK "https://www.mee.gov.cn/ywgz/fgbz/bz/bzwb/jcffbz/200712/W020120106360054174772.pdf"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lang w:val="en-US" w:eastAsia="zh-CN"/>
              </w:rPr>
              <w:t>固定源废气监测技术规范</w:t>
            </w:r>
            <w:r>
              <w:rPr>
                <w:rFonts w:hint="default" w:ascii="Times New Roman" w:hAnsi="Times New Roman" w:cs="Times New Roman"/>
                <w:color w:val="auto"/>
                <w:highlight w:val="none"/>
                <w:lang w:val="en-US" w:eastAsia="zh-CN"/>
              </w:rPr>
              <w:fldChar w:fldCharType="end"/>
            </w:r>
            <w:r>
              <w:rPr>
                <w:rFonts w:hint="default" w:ascii="Times New Roman" w:hAnsi="Times New Roman" w:cs="Times New Roman"/>
                <w:color w:val="auto"/>
                <w:highlight w:val="none"/>
                <w:lang w:val="en-US" w:eastAsia="zh-CN"/>
              </w:rPr>
              <w:t>》（HJ/T 397-2007）对采样孔进行封闭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vMerge w:val="continue"/>
            <w:tcBorders>
              <w:tl2br w:val="nil"/>
              <w:tr2bl w:val="nil"/>
            </w:tcBorders>
            <w:vAlign w:val="center"/>
          </w:tcPr>
          <w:p>
            <w:pPr>
              <w:pStyle w:val="16"/>
              <w:rPr>
                <w:rFonts w:hint="default" w:ascii="Times New Roman" w:hAnsi="Times New Roman" w:cs="Times New Roman"/>
                <w:color w:val="auto"/>
                <w:highlight w:val="none"/>
              </w:rPr>
            </w:pPr>
          </w:p>
        </w:tc>
        <w:tc>
          <w:tcPr>
            <w:tcW w:w="1092" w:type="dxa"/>
            <w:vMerge w:val="continue"/>
            <w:tcBorders>
              <w:tl2br w:val="nil"/>
              <w:tr2bl w:val="nil"/>
            </w:tcBorders>
            <w:vAlign w:val="center"/>
          </w:tcPr>
          <w:p>
            <w:pPr>
              <w:pStyle w:val="16"/>
              <w:rPr>
                <w:rFonts w:hint="default" w:ascii="Times New Roman" w:hAnsi="Times New Roman" w:cs="Times New Roman"/>
                <w:color w:val="auto"/>
                <w:highlight w:val="none"/>
              </w:rPr>
            </w:pPr>
          </w:p>
        </w:tc>
        <w:tc>
          <w:tcPr>
            <w:tcW w:w="2460"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1#、2#喷淋塔设置围堰</w:t>
            </w:r>
          </w:p>
        </w:tc>
        <w:tc>
          <w:tcPr>
            <w:tcW w:w="3260"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围堰一侧破损且存在缺口</w:t>
            </w:r>
          </w:p>
        </w:tc>
        <w:tc>
          <w:tcPr>
            <w:tcW w:w="6305"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修补围堰存在的缺口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vMerge w:val="continue"/>
            <w:tcBorders>
              <w:tl2br w:val="nil"/>
              <w:tr2bl w:val="nil"/>
            </w:tcBorders>
            <w:vAlign w:val="center"/>
          </w:tcPr>
          <w:p>
            <w:pPr>
              <w:pStyle w:val="16"/>
              <w:rPr>
                <w:rFonts w:hint="default" w:ascii="Times New Roman" w:hAnsi="Times New Roman" w:cs="Times New Roman"/>
                <w:color w:val="auto"/>
                <w:highlight w:val="none"/>
              </w:rPr>
            </w:pPr>
          </w:p>
        </w:tc>
        <w:tc>
          <w:tcPr>
            <w:tcW w:w="1092" w:type="dxa"/>
            <w:vMerge w:val="restart"/>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配料</w:t>
            </w:r>
          </w:p>
        </w:tc>
        <w:tc>
          <w:tcPr>
            <w:tcW w:w="2460" w:type="dxa"/>
            <w:vMerge w:val="restart"/>
            <w:tcBorders>
              <w:tl2br w:val="nil"/>
              <w:tr2bl w:val="nil"/>
            </w:tcBorders>
            <w:vAlign w:val="center"/>
          </w:tcPr>
          <w:p>
            <w:pPr>
              <w:pStyle w:val="16"/>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配料间部分区域密闭，配料桶均</w:t>
            </w:r>
            <w:r>
              <w:rPr>
                <w:rFonts w:hint="default" w:ascii="Times New Roman" w:hAnsi="Times New Roman" w:cs="Times New Roman"/>
                <w:color w:val="auto"/>
                <w:highlight w:val="none"/>
              </w:rPr>
              <w:t>采用移动式集气罩收集后经</w:t>
            </w:r>
            <w:r>
              <w:rPr>
                <w:rFonts w:hint="default" w:ascii="Times New Roman" w:hAnsi="Times New Roman" w:cs="Times New Roman"/>
                <w:color w:val="auto"/>
                <w:highlight w:val="none"/>
                <w:lang w:val="en-US" w:eastAsia="zh-CN"/>
              </w:rPr>
              <w:t>三段式填料喷淋塔</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m高排气筒</w:t>
            </w:r>
          </w:p>
        </w:tc>
        <w:tc>
          <w:tcPr>
            <w:tcW w:w="3260"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配料间未《福建省合成革与人造革行业环境准入条件》完全密闭</w:t>
            </w:r>
          </w:p>
        </w:tc>
        <w:tc>
          <w:tcPr>
            <w:tcW w:w="6305" w:type="dxa"/>
            <w:tcBorders>
              <w:tl2br w:val="nil"/>
              <w:tr2bl w:val="nil"/>
            </w:tcBorders>
            <w:vAlign w:val="center"/>
          </w:tcPr>
          <w:p>
            <w:pPr>
              <w:pStyle w:val="16"/>
              <w:jc w:val="both"/>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配料间封闭、集气净化，除物料和员工出入口外不得设置其它可开启的门、窗，其通风换气量应符合《采暖通风与空气调节设计规范》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vMerge w:val="continue"/>
            <w:tcBorders>
              <w:tl2br w:val="nil"/>
              <w:tr2bl w:val="nil"/>
            </w:tcBorders>
            <w:vAlign w:val="center"/>
          </w:tcPr>
          <w:p>
            <w:pPr>
              <w:pStyle w:val="16"/>
              <w:rPr>
                <w:rFonts w:hint="default" w:ascii="Times New Roman" w:hAnsi="Times New Roman" w:cs="Times New Roman"/>
                <w:color w:val="auto"/>
                <w:highlight w:val="none"/>
              </w:rPr>
            </w:pPr>
          </w:p>
        </w:tc>
        <w:tc>
          <w:tcPr>
            <w:tcW w:w="1092" w:type="dxa"/>
            <w:vMerge w:val="continue"/>
            <w:tcBorders>
              <w:tl2br w:val="nil"/>
              <w:tr2bl w:val="nil"/>
            </w:tcBorders>
            <w:vAlign w:val="center"/>
          </w:tcPr>
          <w:p>
            <w:pPr>
              <w:pStyle w:val="16"/>
              <w:rPr>
                <w:rFonts w:hint="default" w:ascii="Times New Roman" w:hAnsi="Times New Roman" w:cs="Times New Roman"/>
                <w:color w:val="auto"/>
                <w:highlight w:val="none"/>
              </w:rPr>
            </w:pPr>
          </w:p>
        </w:tc>
        <w:tc>
          <w:tcPr>
            <w:tcW w:w="2460" w:type="dxa"/>
            <w:vMerge w:val="continue"/>
            <w:tcBorders>
              <w:tl2br w:val="nil"/>
              <w:tr2bl w:val="nil"/>
            </w:tcBorders>
            <w:vAlign w:val="center"/>
          </w:tcPr>
          <w:p>
            <w:pPr>
              <w:pStyle w:val="16"/>
              <w:rPr>
                <w:rFonts w:hint="default" w:ascii="Times New Roman" w:hAnsi="Times New Roman" w:cs="Times New Roman"/>
                <w:color w:val="auto"/>
                <w:highlight w:val="none"/>
              </w:rPr>
            </w:pPr>
          </w:p>
        </w:tc>
        <w:tc>
          <w:tcPr>
            <w:tcW w:w="3260" w:type="dxa"/>
            <w:tcBorders>
              <w:tl2br w:val="nil"/>
              <w:tr2bl w:val="nil"/>
            </w:tcBorders>
            <w:vAlign w:val="center"/>
          </w:tcPr>
          <w:p>
            <w:pPr>
              <w:pStyle w:val="16"/>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配料间部分盛放含挥发性有机物料的容器未密封</w:t>
            </w:r>
          </w:p>
        </w:tc>
        <w:tc>
          <w:tcPr>
            <w:tcW w:w="6305" w:type="dxa"/>
            <w:tcBorders>
              <w:tl2br w:val="nil"/>
              <w:tr2bl w:val="nil"/>
            </w:tcBorders>
            <w:vAlign w:val="center"/>
          </w:tcPr>
          <w:p>
            <w:pPr>
              <w:pStyle w:val="16"/>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盛放含挥发性有机物料的容器全部安装密封盖，不能密封的也全部加装活动盖和集气罩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地下水、土壤</w:t>
            </w:r>
          </w:p>
        </w:tc>
        <w:tc>
          <w:tcPr>
            <w:tcW w:w="1092"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防渗</w:t>
            </w:r>
          </w:p>
        </w:tc>
        <w:tc>
          <w:tcPr>
            <w:tcW w:w="2460"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厂区内已进行地面硬化，储罐区已采取重点防渗措施</w:t>
            </w:r>
          </w:p>
        </w:tc>
        <w:tc>
          <w:tcPr>
            <w:tcW w:w="3260" w:type="dxa"/>
            <w:tcBorders>
              <w:tl2br w:val="nil"/>
              <w:tr2bl w:val="nil"/>
            </w:tcBorders>
            <w:vAlign w:val="center"/>
          </w:tcPr>
          <w:p>
            <w:pPr>
              <w:pStyle w:val="16"/>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配料间、危废间、洗桶区未按照《福建省合成革与人造革行业环境准入条件》要求防渗</w:t>
            </w:r>
          </w:p>
        </w:tc>
        <w:tc>
          <w:tcPr>
            <w:tcW w:w="6305" w:type="dxa"/>
            <w:tcBorders>
              <w:tl2br w:val="nil"/>
              <w:tr2bl w:val="nil"/>
            </w:tcBorders>
            <w:vAlign w:val="center"/>
          </w:tcPr>
          <w:p>
            <w:pPr>
              <w:pStyle w:val="16"/>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1"/>
                <w:szCs w:val="21"/>
                <w:highlight w:val="none"/>
                <w:lang w:val="en-US" w:eastAsia="zh-CN"/>
              </w:rPr>
              <w:t>厂区内采取分区防渗措施，其中</w:t>
            </w:r>
            <w:r>
              <w:rPr>
                <w:rFonts w:hint="default" w:ascii="Times New Roman" w:hAnsi="Times New Roman" w:cs="Times New Roman"/>
                <w:color w:val="auto"/>
                <w:highlight w:val="none"/>
                <w:lang w:val="en-US" w:eastAsia="zh-CN"/>
              </w:rPr>
              <w:t>，配料间、危废间、洗桶区</w:t>
            </w:r>
            <w:r>
              <w:rPr>
                <w:rFonts w:hint="default" w:ascii="Times New Roman" w:hAnsi="Times New Roman" w:eastAsia="宋体" w:cs="Times New Roman"/>
                <w:color w:val="auto"/>
                <w:sz w:val="21"/>
                <w:szCs w:val="21"/>
                <w:highlight w:val="none"/>
              </w:rPr>
              <w:t>参照《危险废物贮存污染控制标准》（GB18597-2001）</w:t>
            </w:r>
            <w:r>
              <w:rPr>
                <w:rFonts w:hint="default" w:ascii="Times New Roman" w:hAnsi="Times New Roman" w:cs="Times New Roman"/>
                <w:color w:val="auto"/>
                <w:sz w:val="21"/>
                <w:szCs w:val="21"/>
                <w:highlight w:val="none"/>
                <w:lang w:val="en-US" w:eastAsia="zh-CN"/>
              </w:rPr>
              <w:t>对洗桶区采取防渗措施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vMerge w:val="restart"/>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w:t>
            </w:r>
          </w:p>
        </w:tc>
        <w:tc>
          <w:tcPr>
            <w:tcW w:w="1092" w:type="dxa"/>
            <w:vMerge w:val="restart"/>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一般固废</w:t>
            </w:r>
            <w:r>
              <w:rPr>
                <w:rFonts w:hint="default" w:ascii="Times New Roman" w:hAnsi="Times New Roman" w:cs="Times New Roman"/>
                <w:color w:val="auto"/>
                <w:highlight w:val="none"/>
                <w:lang w:val="en-US" w:eastAsia="zh-CN"/>
              </w:rPr>
              <w:t>暂存区</w:t>
            </w:r>
          </w:p>
        </w:tc>
        <w:tc>
          <w:tcPr>
            <w:tcW w:w="2460" w:type="dxa"/>
            <w:vMerge w:val="restart"/>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本项目已设置</w:t>
            </w:r>
            <w:r>
              <w:rPr>
                <w:rFonts w:hint="default" w:ascii="Times New Roman" w:hAnsi="Times New Roman" w:cs="Times New Roman"/>
                <w:color w:val="auto"/>
                <w:highlight w:val="none"/>
              </w:rPr>
              <w:t>一般工业固废暂存区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张贴一般固废暂存场所标识</w:t>
            </w:r>
          </w:p>
        </w:tc>
        <w:tc>
          <w:tcPr>
            <w:tcW w:w="3260"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未按照</w:t>
            </w:r>
            <w:r>
              <w:rPr>
                <w:rFonts w:hint="default" w:ascii="Times New Roman" w:hAnsi="Times New Roman" w:cs="Times New Roman"/>
                <w:color w:val="auto"/>
                <w:highlight w:val="none"/>
              </w:rPr>
              <w:t>《环境保护图形标志》等文件要求，</w:t>
            </w:r>
            <w:r>
              <w:rPr>
                <w:rFonts w:hint="default" w:ascii="Times New Roman" w:hAnsi="Times New Roman" w:cs="Times New Roman"/>
                <w:color w:val="auto"/>
                <w:highlight w:val="none"/>
                <w:lang w:val="en-US" w:eastAsia="zh-CN"/>
              </w:rPr>
              <w:t>规范设置</w:t>
            </w:r>
            <w:r>
              <w:rPr>
                <w:rFonts w:hint="default" w:ascii="Times New Roman" w:hAnsi="Times New Roman" w:cs="Times New Roman"/>
                <w:color w:val="auto"/>
                <w:highlight w:val="none"/>
              </w:rPr>
              <w:t>标识</w:t>
            </w:r>
          </w:p>
        </w:tc>
        <w:tc>
          <w:tcPr>
            <w:tcW w:w="6305" w:type="dxa"/>
            <w:tcBorders>
              <w:tl2br w:val="nil"/>
              <w:tr2bl w:val="nil"/>
            </w:tcBorders>
            <w:vAlign w:val="center"/>
          </w:tcPr>
          <w:p>
            <w:pPr>
              <w:pStyle w:val="16"/>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一般固废</w:t>
            </w:r>
            <w:r>
              <w:rPr>
                <w:rFonts w:hint="default" w:ascii="Times New Roman" w:hAnsi="Times New Roman" w:cs="Times New Roman"/>
                <w:color w:val="auto"/>
                <w:highlight w:val="none"/>
                <w:lang w:val="en-US" w:eastAsia="zh-CN"/>
              </w:rPr>
              <w:t>暂存区按照</w:t>
            </w:r>
            <w:r>
              <w:rPr>
                <w:rFonts w:hint="default" w:ascii="Times New Roman" w:hAnsi="Times New Roman" w:cs="Times New Roman"/>
                <w:color w:val="auto"/>
                <w:highlight w:val="none"/>
              </w:rPr>
              <w:t>《环境保护图形标志》等文件要求</w:t>
            </w:r>
            <w:r>
              <w:rPr>
                <w:rFonts w:hint="default" w:ascii="Times New Roman" w:hAnsi="Times New Roman" w:cs="Times New Roman"/>
                <w:color w:val="auto"/>
                <w:highlight w:val="none"/>
                <w:lang w:val="en-US" w:eastAsia="zh-CN"/>
              </w:rPr>
              <w:t>规范设置</w:t>
            </w:r>
            <w:r>
              <w:rPr>
                <w:rFonts w:hint="default" w:ascii="Times New Roman" w:hAnsi="Times New Roman" w:cs="Times New Roman"/>
                <w:color w:val="auto"/>
                <w:highlight w:val="none"/>
              </w:rPr>
              <w:t>标识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vMerge w:val="continue"/>
            <w:tcBorders>
              <w:tl2br w:val="nil"/>
              <w:tr2bl w:val="nil"/>
            </w:tcBorders>
            <w:vAlign w:val="center"/>
          </w:tcPr>
          <w:p>
            <w:pPr>
              <w:pStyle w:val="16"/>
              <w:rPr>
                <w:rFonts w:hint="default" w:ascii="Times New Roman" w:hAnsi="Times New Roman" w:cs="Times New Roman"/>
                <w:color w:val="auto"/>
                <w:highlight w:val="none"/>
              </w:rPr>
            </w:pPr>
          </w:p>
        </w:tc>
        <w:tc>
          <w:tcPr>
            <w:tcW w:w="1092" w:type="dxa"/>
            <w:vMerge w:val="continue"/>
            <w:tcBorders>
              <w:tl2br w:val="nil"/>
              <w:tr2bl w:val="nil"/>
            </w:tcBorders>
            <w:vAlign w:val="center"/>
          </w:tcPr>
          <w:p>
            <w:pPr>
              <w:pStyle w:val="16"/>
              <w:rPr>
                <w:rFonts w:hint="default" w:ascii="Times New Roman" w:hAnsi="Times New Roman" w:cs="Times New Roman"/>
                <w:color w:val="auto"/>
                <w:highlight w:val="none"/>
              </w:rPr>
            </w:pPr>
          </w:p>
        </w:tc>
        <w:tc>
          <w:tcPr>
            <w:tcW w:w="2460" w:type="dxa"/>
            <w:vMerge w:val="continue"/>
            <w:tcBorders>
              <w:tl2br w:val="nil"/>
              <w:tr2bl w:val="nil"/>
            </w:tcBorders>
            <w:vAlign w:val="center"/>
          </w:tcPr>
          <w:p>
            <w:pPr>
              <w:pStyle w:val="16"/>
              <w:rPr>
                <w:rFonts w:hint="default" w:ascii="Times New Roman" w:hAnsi="Times New Roman" w:cs="Times New Roman"/>
                <w:color w:val="auto"/>
                <w:highlight w:val="none"/>
              </w:rPr>
            </w:pPr>
          </w:p>
        </w:tc>
        <w:tc>
          <w:tcPr>
            <w:tcW w:w="3260" w:type="dxa"/>
            <w:tcBorders>
              <w:tl2br w:val="nil"/>
              <w:tr2bl w:val="nil"/>
            </w:tcBorders>
            <w:vAlign w:val="center"/>
          </w:tcPr>
          <w:p>
            <w:pPr>
              <w:pStyle w:val="16"/>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仅进行地面硬化处理</w:t>
            </w:r>
          </w:p>
        </w:tc>
        <w:tc>
          <w:tcPr>
            <w:tcW w:w="6305" w:type="dxa"/>
            <w:tcBorders>
              <w:tl2br w:val="nil"/>
              <w:tr2bl w:val="nil"/>
            </w:tcBorders>
            <w:vAlign w:val="center"/>
          </w:tcPr>
          <w:p>
            <w:pPr>
              <w:pStyle w:val="16"/>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采用单人工</w:t>
            </w:r>
            <w:r>
              <w:rPr>
                <w:rFonts w:hint="default" w:ascii="Times New Roman" w:hAnsi="Times New Roman" w:cs="Times New Roman"/>
                <w:color w:val="auto"/>
                <w:sz w:val="21"/>
                <w:szCs w:val="21"/>
                <w:highlight w:val="none"/>
                <w:lang w:val="en-US" w:eastAsia="zh-CN"/>
              </w:rPr>
              <w:t>复合</w:t>
            </w:r>
            <w:r>
              <w:rPr>
                <w:rFonts w:hint="default" w:ascii="Times New Roman" w:hAnsi="Times New Roman" w:eastAsia="宋体" w:cs="Times New Roman"/>
                <w:color w:val="auto"/>
                <w:sz w:val="21"/>
                <w:szCs w:val="21"/>
                <w:highlight w:val="none"/>
                <w:lang w:val="en-US" w:eastAsia="zh-CN"/>
              </w:rPr>
              <w:t>衬层作为防渗层，并满足以下要求：人工合成材料应采用高密度聚乙烯膜，厚度不小于1.5 mm，并满足GB/T17643规定的技术指标要求。采用其他人工合成材料的，其防渗性能至少相当于1.5 mm高密度聚乙烯膜的防渗性能。粘土衬层厚度应不小于0.75 m，且经压实、人工改性等措施处理后的饱和渗透系数不应大于1.0×10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 xml:space="preserve"> cm/s。使用其他粘土类防渗衬层材料时，应具有同等以上隔水效力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3" w:type="dxa"/>
            <w:vMerge w:val="continue"/>
            <w:tcBorders>
              <w:tl2br w:val="nil"/>
              <w:tr2bl w:val="nil"/>
            </w:tcBorders>
            <w:vAlign w:val="center"/>
          </w:tcPr>
          <w:p>
            <w:pPr>
              <w:pStyle w:val="16"/>
              <w:rPr>
                <w:rFonts w:hint="default" w:ascii="Times New Roman" w:hAnsi="Times New Roman" w:cs="Times New Roman"/>
                <w:color w:val="auto"/>
                <w:highlight w:val="none"/>
              </w:rPr>
            </w:pPr>
          </w:p>
        </w:tc>
        <w:tc>
          <w:tcPr>
            <w:tcW w:w="1092"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危险废物暂存间</w:t>
            </w:r>
          </w:p>
        </w:tc>
        <w:tc>
          <w:tcPr>
            <w:tcW w:w="2460"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val="en-US" w:eastAsia="zh-CN"/>
              </w:rPr>
              <w:t>西侧设置</w:t>
            </w:r>
            <w:r>
              <w:rPr>
                <w:rFonts w:hint="default" w:ascii="Times New Roman" w:hAnsi="Times New Roman" w:cs="Times New Roman"/>
                <w:color w:val="auto"/>
                <w:szCs w:val="21"/>
                <w:highlight w:val="none"/>
              </w:rPr>
              <w:t>一座30m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危险废物暂存间</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已设置危废间标识及危废标识</w:t>
            </w:r>
          </w:p>
        </w:tc>
        <w:tc>
          <w:tcPr>
            <w:tcW w:w="3260"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危险废物暂存间</w:t>
            </w:r>
            <w:r>
              <w:rPr>
                <w:rFonts w:hint="default" w:ascii="Times New Roman" w:hAnsi="Times New Roman" w:cs="Times New Roman"/>
                <w:color w:val="auto"/>
                <w:szCs w:val="21"/>
                <w:highlight w:val="none"/>
                <w:lang w:val="en-US" w:eastAsia="zh-CN"/>
              </w:rPr>
              <w:t>仅进行地面硬化，未按照重点污染防治区采取防渗措施</w:t>
            </w:r>
          </w:p>
        </w:tc>
        <w:tc>
          <w:tcPr>
            <w:tcW w:w="6305"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增加基础防渗，防渗层为至少1m厚黏土层（渗透系数≤10</w:t>
            </w:r>
            <w:r>
              <w:rPr>
                <w:rFonts w:hint="default" w:ascii="Times New Roman" w:hAnsi="Times New Roman" w:cs="Times New Roman"/>
                <w:color w:val="auto"/>
                <w:sz w:val="21"/>
                <w:szCs w:val="21"/>
                <w:highlight w:val="none"/>
                <w:vertAlign w:val="superscript"/>
                <w:lang w:val="en-US" w:eastAsia="zh-CN"/>
              </w:rPr>
              <w:t>-7</w:t>
            </w:r>
            <w:r>
              <w:rPr>
                <w:rFonts w:hint="default" w:ascii="Times New Roman" w:hAnsi="Times New Roman" w:cs="Times New Roman"/>
                <w:color w:val="auto"/>
                <w:sz w:val="21"/>
                <w:szCs w:val="21"/>
                <w:highlight w:val="none"/>
                <w:lang w:val="en-US" w:eastAsia="zh-CN"/>
              </w:rPr>
              <w:t>cm/s），或2mm厚高密度聚乙烯或至少2mm厚的其他人工材料（渗透系数≤10</w:t>
            </w:r>
            <w:r>
              <w:rPr>
                <w:rFonts w:hint="default" w:ascii="Times New Roman" w:hAnsi="Times New Roman" w:cs="Times New Roman"/>
                <w:color w:val="auto"/>
                <w:sz w:val="21"/>
                <w:szCs w:val="21"/>
                <w:highlight w:val="none"/>
                <w:vertAlign w:val="superscript"/>
                <w:lang w:val="en-US" w:eastAsia="zh-CN"/>
              </w:rPr>
              <w:t>-10</w:t>
            </w:r>
            <w:r>
              <w:rPr>
                <w:rFonts w:hint="default" w:ascii="Times New Roman" w:hAnsi="Times New Roman" w:cs="Times New Roman"/>
                <w:color w:val="auto"/>
                <w:sz w:val="21"/>
                <w:szCs w:val="21"/>
                <w:highlight w:val="none"/>
                <w:lang w:val="en-US" w:eastAsia="zh-CN"/>
              </w:rPr>
              <w:t>cm/s）；危废暂存间四周设置导流沟，并引至收集池</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危废间设置气体导出口并将废气接至喷淋塔处理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5" w:type="dxa"/>
            <w:gridSpan w:val="3"/>
            <w:vMerge w:val="restart"/>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其他</w:t>
            </w:r>
          </w:p>
        </w:tc>
        <w:tc>
          <w:tcPr>
            <w:tcW w:w="3260"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蒸汽通道与地面接口处存在空隙</w:t>
            </w:r>
          </w:p>
        </w:tc>
        <w:tc>
          <w:tcPr>
            <w:tcW w:w="6305"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填补空隙避免污水、固体废物进入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55" w:type="dxa"/>
            <w:gridSpan w:val="3"/>
            <w:vMerge w:val="continue"/>
            <w:tcBorders>
              <w:tl2br w:val="nil"/>
              <w:tr2bl w:val="nil"/>
            </w:tcBorders>
            <w:vAlign w:val="center"/>
          </w:tcPr>
          <w:p>
            <w:pPr>
              <w:pStyle w:val="16"/>
              <w:rPr>
                <w:rFonts w:hint="default" w:ascii="Times New Roman" w:hAnsi="Times New Roman" w:cs="Times New Roman"/>
                <w:color w:val="auto"/>
                <w:highlight w:val="none"/>
              </w:rPr>
            </w:pPr>
          </w:p>
        </w:tc>
        <w:tc>
          <w:tcPr>
            <w:tcW w:w="3260"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企业应急预案备案事件为2019年11月，应当每3年修订一次</w:t>
            </w:r>
          </w:p>
        </w:tc>
        <w:tc>
          <w:tcPr>
            <w:tcW w:w="6305"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应急预案正在修编</w:t>
            </w:r>
          </w:p>
        </w:tc>
      </w:tr>
    </w:tbl>
    <w:p>
      <w:pPr>
        <w:bidi w:val="0"/>
        <w:rPr>
          <w:rFonts w:hint="default" w:ascii="Times New Roman" w:hAnsi="Times New Roman" w:cs="Times New Roman"/>
          <w:color w:val="auto"/>
          <w:highlight w:val="none"/>
        </w:rPr>
        <w:sectPr>
          <w:pgSz w:w="16838" w:h="11905" w:orient="landscape"/>
          <w:pgMar w:top="1417" w:right="1417" w:bottom="1417" w:left="1417" w:header="851" w:footer="1077" w:gutter="0"/>
          <w:pgBorders>
            <w:top w:val="none" w:sz="0" w:space="0"/>
            <w:left w:val="none" w:sz="0" w:space="0"/>
            <w:bottom w:val="none" w:sz="0" w:space="0"/>
            <w:right w:val="none" w:sz="0" w:space="0"/>
          </w:pgBorders>
          <w:pgNumType w:fmt="numberInDash"/>
          <w:cols w:space="0" w:num="1"/>
          <w:docGrid w:linePitch="312" w:charSpace="0"/>
        </w:sectPr>
      </w:pPr>
    </w:p>
    <w:p>
      <w:pPr>
        <w:pStyle w:val="3"/>
        <w:numPr>
          <w:ilvl w:val="0"/>
          <w:numId w:val="4"/>
        </w:numPr>
        <w:rPr>
          <w:rFonts w:hint="default" w:ascii="Times New Roman" w:hAnsi="Times New Roman" w:cs="Times New Roman"/>
          <w:color w:val="auto"/>
          <w:highlight w:val="none"/>
        </w:rPr>
      </w:pPr>
      <w:r>
        <w:rPr>
          <w:rFonts w:hint="default" w:ascii="Times New Roman" w:hAnsi="Times New Roman" w:cs="Times New Roman"/>
          <w:color w:val="auto"/>
          <w:highlight w:val="none"/>
        </w:rPr>
        <w:t>区域环境质量现状、环境保护目标及评价标准</w:t>
      </w:r>
    </w:p>
    <w:tbl>
      <w:tblPr>
        <w:tblStyle w:val="11"/>
        <w:tblW w:w="92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8"/>
        <w:gridCol w:w="84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8" w:hRule="atLeast"/>
          <w:jc w:val="center"/>
        </w:trPr>
        <w:tc>
          <w:tcPr>
            <w:tcW w:w="788" w:type="dxa"/>
            <w:vAlign w:val="center"/>
          </w:tcPr>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区域</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质量</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现状</w:t>
            </w:r>
          </w:p>
        </w:tc>
        <w:tc>
          <w:tcPr>
            <w:tcW w:w="8499" w:type="dxa"/>
            <w:vAlign w:val="center"/>
          </w:tcPr>
          <w:p>
            <w:pPr>
              <w:pStyle w:val="2"/>
              <w:numPr>
                <w:ilvl w:val="1"/>
                <w:numId w:val="4"/>
              </w:numPr>
              <w:tabs>
                <w:tab w:val="left" w:pos="420"/>
              </w:tabs>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大气环境质量现状</w:t>
            </w:r>
          </w:p>
          <w:p>
            <w:pPr>
              <w:pStyle w:val="5"/>
              <w:numPr>
                <w:ilvl w:val="0"/>
                <w:numId w:val="0"/>
              </w:numPr>
              <w:ind w:left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所在区域环境质量达标情况</w:t>
            </w:r>
          </w:p>
          <w:p>
            <w:pPr>
              <w:pStyle w:val="5"/>
              <w:ind w:firstLine="480"/>
              <w:rPr>
                <w:rFonts w:hint="default" w:ascii="Times New Roman" w:hAnsi="Times New Roman" w:cs="Times New Roman"/>
                <w:color w:val="auto"/>
                <w:sz w:val="24"/>
                <w:highlight w:val="none"/>
              </w:rPr>
            </w:pPr>
            <w:bookmarkStart w:id="9" w:name="_Ref18834"/>
            <w:r>
              <w:rPr>
                <w:rFonts w:hint="default" w:ascii="Times New Roman" w:hAnsi="Times New Roman" w:cs="Times New Roman"/>
                <w:color w:val="auto"/>
                <w:highlight w:val="none"/>
              </w:rPr>
              <w:t>根据《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w:t>
            </w:r>
            <w:r>
              <w:rPr>
                <w:rFonts w:hint="default" w:ascii="Times New Roman" w:hAnsi="Times New Roman" w:cs="Times New Roman"/>
                <w:color w:val="auto"/>
                <w:highlight w:val="none"/>
                <w:lang w:val="en-US" w:eastAsia="zh-CN"/>
              </w:rPr>
              <w:t>因此</w:t>
            </w:r>
            <w:r>
              <w:rPr>
                <w:rFonts w:hint="default" w:ascii="Times New Roman" w:hAnsi="Times New Roman" w:cs="Times New Roman"/>
                <w:color w:val="auto"/>
                <w:highlight w:val="none"/>
              </w:rPr>
              <w:t>采用宁德市生态环境局发布的《宁德市环境质量状况2021年度》进行评价</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highlight w:val="none"/>
              </w:rPr>
              <w:t>福鼎市的基本污染物的年均浓度详见下表。</w:t>
            </w:r>
          </w:p>
          <w:p>
            <w:pPr>
              <w:pStyle w:val="5"/>
              <w:ind w:firstLine="480"/>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t>根据《宁德市环境质量状况2021年度》，福鼎市2021年SO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highlight w:val="none"/>
              </w:rPr>
              <w:t>年平均浓度分别为7μg/m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、6μg/m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、31μg/m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、13μg/m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；CO24小时平均第95百分位数为1.4mg/m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日最大8小时平均第90百分位数为93μg/m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；各污染物平均浓度均优于《环境空气质量标准》（GB3095-2012）中二级标准限值</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因此项目所在区域环境空气质量属于达标区</w:t>
            </w:r>
            <w:r>
              <w:rPr>
                <w:rFonts w:hint="default" w:ascii="Times New Roman" w:hAnsi="Times New Roman" w:cs="Times New Roman"/>
                <w:color w:val="auto"/>
                <w:highlight w:val="none"/>
              </w:rPr>
              <w:t>。具体福鼎市2021年的环境质量概况见下表。</w:t>
            </w:r>
          </w:p>
          <w:p>
            <w:pPr>
              <w:pStyle w:val="15"/>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福鼎市</w:t>
            </w:r>
            <w:r>
              <w:rPr>
                <w:rFonts w:hint="default" w:ascii="Times New Roman" w:hAnsi="Times New Roman" w:cs="Times New Roman"/>
                <w:color w:val="auto"/>
                <w:highlight w:val="none"/>
                <w:lang w:val="en-US" w:eastAsia="zh-CN"/>
              </w:rPr>
              <w:t>2021年空气质量情况</w:t>
            </w:r>
          </w:p>
          <w:tbl>
            <w:tblPr>
              <w:tblStyle w:val="11"/>
              <w:tblW w:w="8238"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2836"/>
              <w:gridCol w:w="1064"/>
              <w:gridCol w:w="1163"/>
              <w:gridCol w:w="872"/>
              <w:gridCol w:w="113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8"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评价因子</w:t>
                  </w:r>
                </w:p>
              </w:tc>
              <w:tc>
                <w:tcPr>
                  <w:tcW w:w="2836"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平均时段</w:t>
                  </w:r>
                </w:p>
              </w:tc>
              <w:tc>
                <w:tcPr>
                  <w:tcW w:w="1064"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现状浓度</w:t>
                  </w:r>
                </w:p>
              </w:tc>
              <w:tc>
                <w:tcPr>
                  <w:tcW w:w="1163"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标准限值</w:t>
                  </w:r>
                </w:p>
              </w:tc>
              <w:tc>
                <w:tcPr>
                  <w:tcW w:w="872"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占标率</w:t>
                  </w:r>
                </w:p>
              </w:tc>
              <w:tc>
                <w:tcPr>
                  <w:tcW w:w="1135"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8"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p>
              </w:tc>
              <w:tc>
                <w:tcPr>
                  <w:tcW w:w="2836"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年平均浓度</w:t>
                  </w:r>
                </w:p>
              </w:tc>
              <w:tc>
                <w:tcPr>
                  <w:tcW w:w="1064"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7μg/m</w:t>
                  </w:r>
                  <w:r>
                    <w:rPr>
                      <w:rFonts w:hint="default" w:ascii="Times New Roman" w:hAnsi="Times New Roman" w:cs="Times New Roman"/>
                      <w:color w:val="auto"/>
                      <w:highlight w:val="none"/>
                      <w:vertAlign w:val="superscript"/>
                    </w:rPr>
                    <w:t>3</w:t>
                  </w:r>
                </w:p>
              </w:tc>
              <w:tc>
                <w:tcPr>
                  <w:tcW w:w="1163"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60μg/m</w:t>
                  </w:r>
                  <w:r>
                    <w:rPr>
                      <w:rFonts w:hint="default" w:ascii="Times New Roman" w:hAnsi="Times New Roman" w:cs="Times New Roman"/>
                      <w:color w:val="auto"/>
                      <w:highlight w:val="none"/>
                      <w:vertAlign w:val="superscript"/>
                    </w:rPr>
                    <w:t>3</w:t>
                  </w:r>
                </w:p>
              </w:tc>
              <w:tc>
                <w:tcPr>
                  <w:tcW w:w="872"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11.7%</w:t>
                  </w:r>
                </w:p>
              </w:tc>
              <w:tc>
                <w:tcPr>
                  <w:tcW w:w="1135"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8"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p>
              </w:tc>
              <w:tc>
                <w:tcPr>
                  <w:tcW w:w="2836"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年平均浓度</w:t>
                  </w:r>
                </w:p>
              </w:tc>
              <w:tc>
                <w:tcPr>
                  <w:tcW w:w="1064"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6μg/m</w:t>
                  </w:r>
                  <w:r>
                    <w:rPr>
                      <w:rFonts w:hint="default" w:ascii="Times New Roman" w:hAnsi="Times New Roman" w:cs="Times New Roman"/>
                      <w:color w:val="auto"/>
                      <w:highlight w:val="none"/>
                      <w:vertAlign w:val="superscript"/>
                    </w:rPr>
                    <w:t>3</w:t>
                  </w:r>
                </w:p>
              </w:tc>
              <w:tc>
                <w:tcPr>
                  <w:tcW w:w="1163"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40μg/m</w:t>
                  </w:r>
                  <w:r>
                    <w:rPr>
                      <w:rFonts w:hint="default" w:ascii="Times New Roman" w:hAnsi="Times New Roman" w:cs="Times New Roman"/>
                      <w:color w:val="auto"/>
                      <w:highlight w:val="none"/>
                      <w:vertAlign w:val="superscript"/>
                    </w:rPr>
                    <w:t>3</w:t>
                  </w:r>
                </w:p>
              </w:tc>
              <w:tc>
                <w:tcPr>
                  <w:tcW w:w="872"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c>
                <w:tcPr>
                  <w:tcW w:w="1135"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8"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PM10</w:t>
                  </w:r>
                </w:p>
              </w:tc>
              <w:tc>
                <w:tcPr>
                  <w:tcW w:w="2836"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年平均浓度</w:t>
                  </w:r>
                </w:p>
              </w:tc>
              <w:tc>
                <w:tcPr>
                  <w:tcW w:w="1064"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31μg/m</w:t>
                  </w:r>
                  <w:r>
                    <w:rPr>
                      <w:rFonts w:hint="default" w:ascii="Times New Roman" w:hAnsi="Times New Roman" w:cs="Times New Roman"/>
                      <w:color w:val="auto"/>
                      <w:highlight w:val="none"/>
                      <w:vertAlign w:val="superscript"/>
                    </w:rPr>
                    <w:t>3</w:t>
                  </w:r>
                </w:p>
              </w:tc>
              <w:tc>
                <w:tcPr>
                  <w:tcW w:w="1163"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70μg/m</w:t>
                  </w:r>
                  <w:r>
                    <w:rPr>
                      <w:rFonts w:hint="default" w:ascii="Times New Roman" w:hAnsi="Times New Roman" w:cs="Times New Roman"/>
                      <w:color w:val="auto"/>
                      <w:highlight w:val="none"/>
                      <w:vertAlign w:val="superscript"/>
                    </w:rPr>
                    <w:t>3</w:t>
                  </w:r>
                </w:p>
              </w:tc>
              <w:tc>
                <w:tcPr>
                  <w:tcW w:w="872"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44.3%</w:t>
                  </w:r>
                </w:p>
              </w:tc>
              <w:tc>
                <w:tcPr>
                  <w:tcW w:w="1135"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8"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PM2.5</w:t>
                  </w:r>
                </w:p>
              </w:tc>
              <w:tc>
                <w:tcPr>
                  <w:tcW w:w="2836"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年平均浓度</w:t>
                  </w:r>
                </w:p>
              </w:tc>
              <w:tc>
                <w:tcPr>
                  <w:tcW w:w="1064"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13μg/m</w:t>
                  </w:r>
                  <w:r>
                    <w:rPr>
                      <w:rFonts w:hint="default" w:ascii="Times New Roman" w:hAnsi="Times New Roman" w:cs="Times New Roman"/>
                      <w:color w:val="auto"/>
                      <w:highlight w:val="none"/>
                      <w:vertAlign w:val="superscript"/>
                    </w:rPr>
                    <w:t>3</w:t>
                  </w:r>
                </w:p>
              </w:tc>
              <w:tc>
                <w:tcPr>
                  <w:tcW w:w="1163"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35μg/m</w:t>
                  </w:r>
                  <w:r>
                    <w:rPr>
                      <w:rFonts w:hint="default" w:ascii="Times New Roman" w:hAnsi="Times New Roman" w:cs="Times New Roman"/>
                      <w:color w:val="auto"/>
                      <w:highlight w:val="none"/>
                      <w:vertAlign w:val="superscript"/>
                    </w:rPr>
                    <w:t>3</w:t>
                  </w:r>
                </w:p>
              </w:tc>
              <w:tc>
                <w:tcPr>
                  <w:tcW w:w="872"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37.1%</w:t>
                  </w:r>
                </w:p>
              </w:tc>
              <w:tc>
                <w:tcPr>
                  <w:tcW w:w="1135"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8"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CO</w:t>
                  </w:r>
                </w:p>
              </w:tc>
              <w:tc>
                <w:tcPr>
                  <w:tcW w:w="2836"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95百分位上日平均质量浓度</w:t>
                  </w:r>
                </w:p>
              </w:tc>
              <w:tc>
                <w:tcPr>
                  <w:tcW w:w="1064"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1.4mg/m</w:t>
                  </w:r>
                  <w:r>
                    <w:rPr>
                      <w:rFonts w:hint="default" w:ascii="Times New Roman" w:hAnsi="Times New Roman" w:cs="Times New Roman"/>
                      <w:color w:val="auto"/>
                      <w:highlight w:val="none"/>
                      <w:vertAlign w:val="superscript"/>
                    </w:rPr>
                    <w:t>3</w:t>
                  </w:r>
                </w:p>
              </w:tc>
              <w:tc>
                <w:tcPr>
                  <w:tcW w:w="1163"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4mg/m</w:t>
                  </w:r>
                  <w:r>
                    <w:rPr>
                      <w:rFonts w:hint="default" w:ascii="Times New Roman" w:hAnsi="Times New Roman" w:cs="Times New Roman"/>
                      <w:color w:val="auto"/>
                      <w:highlight w:val="none"/>
                      <w:vertAlign w:val="superscript"/>
                    </w:rPr>
                    <w:t>3</w:t>
                  </w:r>
                </w:p>
              </w:tc>
              <w:tc>
                <w:tcPr>
                  <w:tcW w:w="872"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35.0%</w:t>
                  </w:r>
                </w:p>
              </w:tc>
              <w:tc>
                <w:tcPr>
                  <w:tcW w:w="1135"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8"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3</w:t>
                  </w:r>
                </w:p>
              </w:tc>
              <w:tc>
                <w:tcPr>
                  <w:tcW w:w="2836"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90百分位上8h平均质量浓度</w:t>
                  </w:r>
                </w:p>
              </w:tc>
              <w:tc>
                <w:tcPr>
                  <w:tcW w:w="1064"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93μg/m</w:t>
                  </w:r>
                  <w:r>
                    <w:rPr>
                      <w:rFonts w:hint="default" w:ascii="Times New Roman" w:hAnsi="Times New Roman" w:cs="Times New Roman"/>
                      <w:color w:val="auto"/>
                      <w:highlight w:val="none"/>
                      <w:vertAlign w:val="superscript"/>
                    </w:rPr>
                    <w:t>3</w:t>
                  </w:r>
                </w:p>
              </w:tc>
              <w:tc>
                <w:tcPr>
                  <w:tcW w:w="1163"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160μg/m</w:t>
                  </w:r>
                  <w:r>
                    <w:rPr>
                      <w:rFonts w:hint="default" w:ascii="Times New Roman" w:hAnsi="Times New Roman" w:cs="Times New Roman"/>
                      <w:color w:val="auto"/>
                      <w:highlight w:val="none"/>
                      <w:vertAlign w:val="superscript"/>
                    </w:rPr>
                    <w:t>3</w:t>
                  </w:r>
                </w:p>
              </w:tc>
              <w:tc>
                <w:tcPr>
                  <w:tcW w:w="872"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58.1%</w:t>
                  </w:r>
                </w:p>
              </w:tc>
              <w:tc>
                <w:tcPr>
                  <w:tcW w:w="1135"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bl>
          <w:p>
            <w:pPr>
              <w:pStyle w:val="5"/>
              <w:spacing w:line="240" w:lineRule="auto"/>
              <w:ind w:firstLine="480"/>
              <w:rPr>
                <w:rFonts w:hint="default" w:ascii="Times New Roman" w:hAnsi="Times New Roman" w:cs="Times New Roman"/>
                <w:color w:val="auto"/>
                <w:highlight w:val="none"/>
              </w:rPr>
            </w:pPr>
          </w:p>
          <w:bookmarkEnd w:id="9"/>
          <w:p>
            <w:pPr>
              <w:pStyle w:val="5"/>
              <w:numPr>
                <w:ilvl w:val="0"/>
                <w:numId w:val="0"/>
              </w:numPr>
              <w:ind w:left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特征污染物环境质量达标情况</w:t>
            </w:r>
          </w:p>
          <w:p>
            <w:pPr>
              <w:pStyle w:val="5"/>
              <w:ind w:firstLine="480"/>
              <w:rPr>
                <w:rFonts w:hint="default" w:ascii="Times New Roman" w:hAnsi="Times New Roman" w:cs="Times New Roman"/>
                <w:color w:val="auto"/>
                <w:highlight w:val="none"/>
              </w:rPr>
            </w:pPr>
            <w:bookmarkStart w:id="10" w:name="_Ref13306"/>
            <w:r>
              <w:rPr>
                <w:rFonts w:hint="default" w:ascii="Times New Roman" w:hAnsi="Times New Roman" w:cs="Times New Roman"/>
                <w:color w:val="auto"/>
                <w:highlight w:val="none"/>
                <w:lang w:val="en-US" w:eastAsia="zh-CN"/>
              </w:rPr>
              <w:t>现有工程特征污染物为DMF、苯、甲苯、二甲苯、臭气浓度、非甲烷总烃，本项目特征污染物为DMF、非甲烷总烃、臭气浓度。因此本次评价委托厦门科仪检测技术有限公司对沙淀村处DMF、臭气浓度进行监测，并</w:t>
            </w:r>
            <w:r>
              <w:rPr>
                <w:rFonts w:hint="default" w:ascii="Times New Roman" w:hAnsi="Times New Roman" w:cs="Times New Roman"/>
                <w:color w:val="auto"/>
                <w:highlight w:val="none"/>
              </w:rPr>
              <w:t>引用</w:t>
            </w:r>
            <w:r>
              <w:rPr>
                <w:rFonts w:hint="default" w:ascii="Times New Roman" w:hAnsi="Times New Roman" w:cs="Times New Roman"/>
                <w:color w:val="auto"/>
                <w:highlight w:val="none"/>
                <w:lang w:eastAsia="zh-CN"/>
              </w:rPr>
              <w:t>《水性、无溶剂合成革项目</w:t>
            </w:r>
            <w:r>
              <w:rPr>
                <w:rFonts w:hint="default" w:ascii="Times New Roman" w:hAnsi="Times New Roman" w:cs="Times New Roman"/>
                <w:color w:val="auto"/>
                <w:highlight w:val="none"/>
                <w:lang w:val="en-US" w:eastAsia="zh-CN"/>
              </w:rPr>
              <w:t>环境影响报告表</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中委托</w:t>
            </w:r>
            <w:r>
              <w:rPr>
                <w:rFonts w:hint="default" w:ascii="Times New Roman" w:hAnsi="Times New Roman" w:eastAsia="宋体" w:cs="Times New Roman"/>
                <w:color w:val="auto"/>
                <w:sz w:val="24"/>
                <w:szCs w:val="24"/>
                <w:highlight w:val="none"/>
              </w:rPr>
              <w:t>厦门科仪检测技术有限公司</w:t>
            </w:r>
            <w:r>
              <w:rPr>
                <w:rFonts w:hint="default" w:ascii="Times New Roman" w:hAnsi="Times New Roman" w:cs="Times New Roman"/>
                <w:color w:val="auto"/>
                <w:highlight w:val="none"/>
                <w:lang w:val="en-US" w:eastAsia="zh-CN"/>
              </w:rPr>
              <w:t>于2020年7月16~22日对园区下风向柏洋村苯、二甲苯的监测结果和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五金紧固件小微园改建项目</w:t>
            </w:r>
            <w:r>
              <w:rPr>
                <w:rFonts w:hint="default" w:ascii="Times New Roman" w:hAnsi="Times New Roman" w:cs="Times New Roman"/>
                <w:color w:val="auto"/>
                <w:highlight w:val="none"/>
              </w:rPr>
              <w:t>环境影响报告书》中</w:t>
            </w:r>
            <w:r>
              <w:rPr>
                <w:rFonts w:hint="default" w:ascii="Times New Roman" w:hAnsi="Times New Roman" w:cs="Times New Roman"/>
                <w:color w:val="auto"/>
                <w:highlight w:val="none"/>
                <w:lang w:val="en-US" w:eastAsia="zh-CN"/>
              </w:rPr>
              <w:t>委托厦门科仪检测技术有限公司</w:t>
            </w:r>
            <w:r>
              <w:rPr>
                <w:rFonts w:hint="default" w:ascii="Times New Roman" w:hAnsi="Times New Roman" w:cs="Times New Roman"/>
                <w:color w:val="auto"/>
                <w:highlight w:val="none"/>
              </w:rPr>
              <w:t>于</w:t>
            </w:r>
            <w:r>
              <w:rPr>
                <w:rFonts w:hint="default" w:ascii="Times New Roman" w:hAnsi="Times New Roman" w:cs="Times New Roman"/>
                <w:color w:val="auto"/>
                <w:highlight w:val="none"/>
                <w:lang w:val="en-US" w:eastAsia="zh-CN"/>
              </w:rPr>
              <w:t>2022</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20-22</w:t>
            </w:r>
            <w:r>
              <w:rPr>
                <w:rFonts w:hint="default" w:ascii="Times New Roman" w:hAnsi="Times New Roman" w:cs="Times New Roman"/>
                <w:color w:val="auto"/>
                <w:highlight w:val="none"/>
              </w:rPr>
              <w:t>日对</w:t>
            </w:r>
            <w:r>
              <w:rPr>
                <w:rFonts w:hint="default" w:ascii="Times New Roman" w:hAnsi="Times New Roman" w:cs="Times New Roman"/>
                <w:color w:val="auto"/>
                <w:highlight w:val="none"/>
                <w:lang w:val="en-US" w:eastAsia="zh-CN"/>
              </w:rPr>
              <w:t>园区下风向</w:t>
            </w:r>
            <w:r>
              <w:rPr>
                <w:rFonts w:hint="default" w:ascii="Times New Roman" w:hAnsi="Times New Roman" w:cs="Times New Roman"/>
                <w:color w:val="auto"/>
                <w:highlight w:val="none"/>
              </w:rPr>
              <w:t>沙淀村</w:t>
            </w:r>
            <w:r>
              <w:rPr>
                <w:rFonts w:hint="default" w:ascii="Times New Roman" w:hAnsi="Times New Roman" w:cs="Times New Roman"/>
                <w:color w:val="auto"/>
                <w:highlight w:val="none"/>
                <w:lang w:val="en-US" w:eastAsia="zh-CN"/>
              </w:rPr>
              <w:t>非甲烷总烃</w:t>
            </w:r>
            <w:r>
              <w:rPr>
                <w:rFonts w:hint="default" w:ascii="Times New Roman" w:hAnsi="Times New Roman" w:cs="Times New Roman"/>
                <w:color w:val="auto"/>
                <w:highlight w:val="none"/>
              </w:rPr>
              <w:t>的监测结果</w:t>
            </w:r>
            <w:r>
              <w:rPr>
                <w:rFonts w:hint="default" w:ascii="Times New Roman" w:hAnsi="Times New Roman" w:cs="Times New Roman"/>
                <w:color w:val="auto"/>
                <w:highlight w:val="none"/>
                <w:lang w:val="en-US" w:eastAsia="zh-CN"/>
              </w:rPr>
              <w:t>。沙淀村、赤屿村位于厂区下风向，且监测时间未超过3年，区域环境空气质量未发生重大变化，因此本评价认为引用数据兼具时效性及有效性。</w:t>
            </w:r>
            <w:r>
              <w:rPr>
                <w:rFonts w:hint="default" w:ascii="Times New Roman" w:hAnsi="Times New Roman" w:cs="Times New Roman"/>
                <w:color w:val="auto"/>
                <w:highlight w:val="none"/>
              </w:rPr>
              <w:t>大气监测点位见下表及附图</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p>
          <w:p>
            <w:pPr>
              <w:pStyle w:val="1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环境空气监测点位情况一览表</w:t>
            </w:r>
          </w:p>
          <w:tbl>
            <w:tblPr>
              <w:tblStyle w:val="11"/>
              <w:tblW w:w="8245"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091"/>
              <w:gridCol w:w="1650"/>
              <w:gridCol w:w="2693"/>
              <w:gridCol w:w="213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73" w:type="dxa"/>
                  <w:tcBorders>
                    <w:tl2br w:val="nil"/>
                    <w:tr2bl w:val="nil"/>
                  </w:tcBorders>
                  <w:shd w:val="clear" w:color="auto" w:fill="auto"/>
                  <w:vAlign w:val="center"/>
                </w:tcPr>
                <w:p>
                  <w:pPr>
                    <w:widowControl w:val="0"/>
                    <w:adjustRightInd w:val="0"/>
                    <w:snapToGrid w:val="0"/>
                    <w:spacing w:before="0" w:beforeAutospacing="0" w:after="0" w:afterAutospacing="0"/>
                    <w:jc w:val="center"/>
                    <w:rPr>
                      <w:rFonts w:hint="default" w:ascii="Times New Roman" w:hAnsi="Times New Roman" w:cs="Times New Roman"/>
                      <w:color w:val="auto"/>
                      <w:highlight w:val="none"/>
                    </w:rPr>
                  </w:pPr>
                  <w:r>
                    <w:rPr>
                      <w:rFonts w:hint="default" w:ascii="Times New Roman" w:hAnsi="Times New Roman" w:cs="Times New Roman"/>
                      <w:color w:val="auto"/>
                      <w:kern w:val="2"/>
                      <w:sz w:val="21"/>
                      <w:szCs w:val="24"/>
                      <w:highlight w:val="none"/>
                      <w:lang w:bidi="ar"/>
                    </w:rPr>
                    <w:t>编号</w:t>
                  </w:r>
                </w:p>
              </w:tc>
              <w:tc>
                <w:tcPr>
                  <w:tcW w:w="1091" w:type="dxa"/>
                  <w:tcBorders>
                    <w:tl2br w:val="nil"/>
                    <w:tr2bl w:val="nil"/>
                  </w:tcBorders>
                  <w:shd w:val="clear" w:color="auto" w:fill="auto"/>
                  <w:vAlign w:val="center"/>
                </w:tcPr>
                <w:p>
                  <w:pPr>
                    <w:widowControl w:val="0"/>
                    <w:adjustRightInd w:val="0"/>
                    <w:snapToGrid w:val="0"/>
                    <w:spacing w:before="0" w:beforeAutospacing="0" w:after="0" w:afterAutospacing="0"/>
                    <w:jc w:val="center"/>
                    <w:rPr>
                      <w:rFonts w:hint="default" w:ascii="Times New Roman" w:hAnsi="Times New Roman" w:cs="Times New Roman"/>
                      <w:color w:val="auto"/>
                      <w:highlight w:val="none"/>
                    </w:rPr>
                  </w:pPr>
                  <w:r>
                    <w:rPr>
                      <w:rFonts w:hint="default" w:ascii="Times New Roman" w:hAnsi="Times New Roman" w:cs="Times New Roman"/>
                      <w:color w:val="auto"/>
                      <w:kern w:val="2"/>
                      <w:sz w:val="21"/>
                      <w:szCs w:val="24"/>
                      <w:highlight w:val="none"/>
                      <w:lang w:bidi="ar"/>
                    </w:rPr>
                    <w:t>点位名称</w:t>
                  </w:r>
                </w:p>
              </w:tc>
              <w:tc>
                <w:tcPr>
                  <w:tcW w:w="1650" w:type="dxa"/>
                  <w:tcBorders>
                    <w:tl2br w:val="nil"/>
                    <w:tr2bl w:val="nil"/>
                  </w:tcBorders>
                  <w:shd w:val="clear" w:color="auto" w:fill="auto"/>
                  <w:vAlign w:val="center"/>
                </w:tcPr>
                <w:p>
                  <w:pPr>
                    <w:widowControl w:val="0"/>
                    <w:adjustRightInd w:val="0"/>
                    <w:snapToGrid w:val="0"/>
                    <w:spacing w:before="0" w:beforeAutospacing="0" w:after="0" w:afterAutospacing="0"/>
                    <w:jc w:val="center"/>
                    <w:rPr>
                      <w:rFonts w:hint="default" w:ascii="Times New Roman" w:hAnsi="Times New Roman" w:cs="Times New Roman"/>
                      <w:color w:val="auto"/>
                      <w:highlight w:val="none"/>
                    </w:rPr>
                  </w:pPr>
                  <w:r>
                    <w:rPr>
                      <w:rFonts w:hint="default" w:ascii="Times New Roman" w:hAnsi="Times New Roman" w:cs="Times New Roman"/>
                      <w:color w:val="auto"/>
                      <w:kern w:val="2"/>
                      <w:sz w:val="21"/>
                      <w:szCs w:val="24"/>
                      <w:highlight w:val="none"/>
                      <w:lang w:bidi="ar"/>
                    </w:rPr>
                    <w:t>监测因子</w:t>
                  </w:r>
                </w:p>
              </w:tc>
              <w:tc>
                <w:tcPr>
                  <w:tcW w:w="2693" w:type="dxa"/>
                  <w:tcBorders>
                    <w:tl2br w:val="nil"/>
                    <w:tr2bl w:val="nil"/>
                  </w:tcBorders>
                  <w:shd w:val="clear" w:color="auto" w:fill="auto"/>
                  <w:vAlign w:val="center"/>
                </w:tcPr>
                <w:p>
                  <w:pPr>
                    <w:widowControl w:val="0"/>
                    <w:adjustRightInd w:val="0"/>
                    <w:snapToGrid w:val="0"/>
                    <w:spacing w:before="0" w:beforeAutospacing="0" w:after="0" w:afterAutospacing="0"/>
                    <w:jc w:val="center"/>
                    <w:rPr>
                      <w:rFonts w:hint="default" w:ascii="Times New Roman" w:hAnsi="Times New Roman" w:cs="Times New Roman"/>
                      <w:color w:val="auto"/>
                      <w:highlight w:val="none"/>
                    </w:rPr>
                  </w:pPr>
                  <w:r>
                    <w:rPr>
                      <w:rFonts w:hint="default" w:ascii="Times New Roman" w:hAnsi="Times New Roman" w:cs="Times New Roman"/>
                      <w:color w:val="auto"/>
                      <w:kern w:val="2"/>
                      <w:sz w:val="21"/>
                      <w:szCs w:val="24"/>
                      <w:highlight w:val="none"/>
                      <w:lang w:bidi="ar"/>
                    </w:rPr>
                    <w:t>监测频次</w:t>
                  </w:r>
                </w:p>
              </w:tc>
              <w:tc>
                <w:tcPr>
                  <w:tcW w:w="2138" w:type="dxa"/>
                  <w:tcBorders>
                    <w:tl2br w:val="nil"/>
                    <w:tr2bl w:val="nil"/>
                  </w:tcBorders>
                  <w:shd w:val="clear" w:color="auto" w:fill="auto"/>
                  <w:vAlign w:val="center"/>
                </w:tcPr>
                <w:p>
                  <w:pPr>
                    <w:widowControl w:val="0"/>
                    <w:adjustRightInd w:val="0"/>
                    <w:snapToGrid w:val="0"/>
                    <w:spacing w:before="0" w:beforeAutospacing="0" w:after="0" w:afterAutospacing="0"/>
                    <w:jc w:val="center"/>
                    <w:rPr>
                      <w:rFonts w:hint="default" w:ascii="Times New Roman" w:hAnsi="Times New Roman" w:cs="Times New Roman"/>
                      <w:color w:val="auto"/>
                      <w:highlight w:val="none"/>
                    </w:rPr>
                  </w:pPr>
                  <w:r>
                    <w:rPr>
                      <w:rFonts w:hint="default" w:ascii="Times New Roman" w:hAnsi="Times New Roman" w:cs="Times New Roman"/>
                      <w:color w:val="auto"/>
                      <w:kern w:val="2"/>
                      <w:sz w:val="21"/>
                      <w:szCs w:val="24"/>
                      <w:highlight w:val="none"/>
                      <w:lang w:bidi="ar"/>
                    </w:rPr>
                    <w:t>监测时间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Merge w:val="restart"/>
                  <w:tcBorders>
                    <w:tl2br w:val="nil"/>
                    <w:tr2bl w:val="nil"/>
                  </w:tcBorders>
                  <w:shd w:val="clear" w:color="auto" w:fill="auto"/>
                  <w:vAlign w:val="center"/>
                </w:tcPr>
                <w:p>
                  <w:pPr>
                    <w:widowControl w:val="0"/>
                    <w:adjustRightInd w:val="0"/>
                    <w:snapToGrid w:val="0"/>
                    <w:spacing w:before="0" w:beforeAutospacing="0" w:after="0" w:afterAutospacing="0"/>
                    <w:jc w:val="center"/>
                    <w:rPr>
                      <w:rFonts w:hint="default" w:ascii="Times New Roman" w:hAnsi="Times New Roman" w:cs="Times New Roman"/>
                      <w:color w:val="auto"/>
                      <w:highlight w:val="none"/>
                    </w:rPr>
                  </w:pPr>
                  <w:r>
                    <w:rPr>
                      <w:rFonts w:hint="default" w:ascii="Times New Roman" w:hAnsi="Times New Roman" w:cs="Times New Roman"/>
                      <w:color w:val="auto"/>
                      <w:kern w:val="2"/>
                      <w:sz w:val="21"/>
                      <w:szCs w:val="24"/>
                      <w:highlight w:val="none"/>
                      <w:lang w:bidi="ar"/>
                    </w:rPr>
                    <w:t>G1</w:t>
                  </w:r>
                </w:p>
              </w:tc>
              <w:tc>
                <w:tcPr>
                  <w:tcW w:w="1091" w:type="dxa"/>
                  <w:vMerge w:val="restart"/>
                  <w:tcBorders>
                    <w:tl2br w:val="nil"/>
                    <w:tr2bl w:val="nil"/>
                  </w:tcBorders>
                  <w:shd w:val="clear" w:color="auto" w:fill="auto"/>
                  <w:vAlign w:val="center"/>
                </w:tcPr>
                <w:p>
                  <w:pPr>
                    <w:widowControl w:val="0"/>
                    <w:adjustRightInd w:val="0"/>
                    <w:snapToGrid w:val="0"/>
                    <w:spacing w:before="0" w:beforeAutospacing="0" w:after="0" w:afterAutospacing="0"/>
                    <w:jc w:val="center"/>
                    <w:rPr>
                      <w:rFonts w:hint="default" w:ascii="Times New Roman" w:hAnsi="Times New Roman" w:cs="Times New Roman"/>
                      <w:color w:val="auto"/>
                      <w:highlight w:val="none"/>
                    </w:rPr>
                  </w:pPr>
                  <w:r>
                    <w:rPr>
                      <w:rFonts w:hint="default" w:ascii="Times New Roman" w:hAnsi="Times New Roman" w:cs="Times New Roman"/>
                      <w:color w:val="auto"/>
                      <w:kern w:val="2"/>
                      <w:sz w:val="21"/>
                      <w:szCs w:val="24"/>
                      <w:highlight w:val="none"/>
                      <w:lang w:bidi="ar"/>
                    </w:rPr>
                    <w:t>沙淀村</w:t>
                  </w:r>
                </w:p>
              </w:tc>
              <w:tc>
                <w:tcPr>
                  <w:tcW w:w="1650" w:type="dxa"/>
                  <w:tcBorders>
                    <w:tl2br w:val="nil"/>
                    <w:tr2bl w:val="nil"/>
                  </w:tcBorders>
                  <w:shd w:val="clear" w:color="auto" w:fill="auto"/>
                  <w:vAlign w:val="center"/>
                </w:tcPr>
                <w:p>
                  <w:pPr>
                    <w:widowControl w:val="0"/>
                    <w:adjustRightInd w:val="0"/>
                    <w:snapToGrid w:val="0"/>
                    <w:spacing w:before="0" w:beforeAutospacing="0" w:after="0" w:afterAutospacing="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非甲烷总烃</w:t>
                  </w:r>
                </w:p>
              </w:tc>
              <w:tc>
                <w:tcPr>
                  <w:tcW w:w="2693" w:type="dxa"/>
                  <w:vMerge w:val="restart"/>
                  <w:tcBorders>
                    <w:tl2br w:val="nil"/>
                    <w:tr2bl w:val="nil"/>
                  </w:tcBorders>
                  <w:shd w:val="clear" w:color="auto" w:fill="auto"/>
                  <w:vAlign w:val="center"/>
                </w:tcPr>
                <w:p>
                  <w:pPr>
                    <w:widowControl w:val="0"/>
                    <w:adjustRightInd w:val="0"/>
                    <w:snapToGrid w:val="0"/>
                    <w:spacing w:before="0" w:beforeAutospacing="0" w:after="0" w:afterAutospacing="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bidi="ar"/>
                    </w:rPr>
                    <w:t>连续监测</w:t>
                  </w:r>
                  <w:r>
                    <w:rPr>
                      <w:rFonts w:hint="default" w:ascii="Times New Roman" w:hAnsi="Times New Roman" w:cs="Times New Roman"/>
                      <w:color w:val="auto"/>
                      <w:kern w:val="2"/>
                      <w:sz w:val="21"/>
                      <w:szCs w:val="24"/>
                      <w:highlight w:val="none"/>
                      <w:lang w:val="en-US" w:eastAsia="zh-CN" w:bidi="ar"/>
                    </w:rPr>
                    <w:t>3</w:t>
                  </w:r>
                  <w:r>
                    <w:rPr>
                      <w:rFonts w:hint="default" w:ascii="Times New Roman" w:hAnsi="Times New Roman" w:cs="Times New Roman"/>
                      <w:color w:val="auto"/>
                      <w:kern w:val="2"/>
                      <w:sz w:val="21"/>
                      <w:szCs w:val="24"/>
                      <w:highlight w:val="none"/>
                      <w:lang w:bidi="ar"/>
                    </w:rPr>
                    <w:t>天，日均值</w:t>
                  </w:r>
                </w:p>
              </w:tc>
              <w:tc>
                <w:tcPr>
                  <w:tcW w:w="2138" w:type="dxa"/>
                  <w:tcBorders>
                    <w:tl2br w:val="nil"/>
                    <w:tr2bl w:val="nil"/>
                  </w:tcBorders>
                  <w:shd w:val="clear" w:color="auto" w:fill="auto"/>
                  <w:vAlign w:val="center"/>
                </w:tcPr>
                <w:p>
                  <w:pPr>
                    <w:widowControl w:val="0"/>
                    <w:adjustRightInd w:val="0"/>
                    <w:snapToGrid w:val="0"/>
                    <w:spacing w:before="0" w:beforeAutospacing="0" w:after="0" w:afterAutospacing="0"/>
                    <w:jc w:val="center"/>
                    <w:rPr>
                      <w:rFonts w:hint="default" w:ascii="Times New Roman" w:hAnsi="Times New Roman" w:eastAsia="宋体" w:cs="Times New Roman"/>
                      <w:color w:val="auto"/>
                      <w:kern w:val="2"/>
                      <w:sz w:val="20"/>
                      <w:szCs w:val="20"/>
                      <w:highlight w:val="none"/>
                      <w:lang w:val="en-US" w:eastAsia="zh-CN" w:bidi="ar-SA"/>
                    </w:rPr>
                  </w:pPr>
                  <w:r>
                    <w:rPr>
                      <w:rFonts w:hint="default" w:ascii="Times New Roman" w:hAnsi="Times New Roman" w:cs="Times New Roman"/>
                      <w:color w:val="auto"/>
                      <w:kern w:val="2"/>
                      <w:sz w:val="21"/>
                      <w:szCs w:val="24"/>
                      <w:highlight w:val="none"/>
                      <w:lang w:val="en-US" w:eastAsia="zh-CN" w:bidi="ar"/>
                    </w:rPr>
                    <w:t>2022.8.20~2022.8.22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vMerge w:val="continue"/>
                  <w:tcBorders>
                    <w:tl2br w:val="nil"/>
                    <w:tr2bl w:val="nil"/>
                  </w:tcBorders>
                  <w:shd w:val="clear" w:color="auto" w:fill="auto"/>
                  <w:vAlign w:val="center"/>
                </w:tcPr>
                <w:p>
                  <w:pPr>
                    <w:widowControl w:val="0"/>
                    <w:adjustRightInd w:val="0"/>
                    <w:snapToGrid w:val="0"/>
                    <w:spacing w:before="0" w:beforeAutospacing="0" w:after="0" w:afterAutospacing="0"/>
                    <w:jc w:val="center"/>
                    <w:rPr>
                      <w:rFonts w:hint="default" w:ascii="Times New Roman" w:hAnsi="Times New Roman" w:cs="Times New Roman"/>
                      <w:color w:val="auto"/>
                      <w:highlight w:val="none"/>
                    </w:rPr>
                  </w:pPr>
                </w:p>
              </w:tc>
              <w:tc>
                <w:tcPr>
                  <w:tcW w:w="1091" w:type="dxa"/>
                  <w:vMerge w:val="continue"/>
                  <w:tcBorders>
                    <w:tl2br w:val="nil"/>
                    <w:tr2bl w:val="nil"/>
                  </w:tcBorders>
                  <w:shd w:val="clear" w:color="auto" w:fill="auto"/>
                  <w:vAlign w:val="center"/>
                </w:tcPr>
                <w:p>
                  <w:pPr>
                    <w:widowControl w:val="0"/>
                    <w:adjustRightInd w:val="0"/>
                    <w:snapToGrid w:val="0"/>
                    <w:spacing w:before="0" w:beforeAutospacing="0" w:after="0" w:afterAutospacing="0"/>
                    <w:jc w:val="center"/>
                    <w:rPr>
                      <w:rFonts w:hint="default" w:ascii="Times New Roman" w:hAnsi="Times New Roman" w:cs="Times New Roman"/>
                      <w:color w:val="auto"/>
                      <w:highlight w:val="none"/>
                    </w:rPr>
                  </w:pPr>
                </w:p>
              </w:tc>
              <w:tc>
                <w:tcPr>
                  <w:tcW w:w="1650" w:type="dxa"/>
                  <w:tcBorders>
                    <w:tl2br w:val="nil"/>
                    <w:tr2bl w:val="nil"/>
                  </w:tcBorders>
                  <w:shd w:val="clear" w:color="auto" w:fill="auto"/>
                  <w:vAlign w:val="center"/>
                </w:tcPr>
                <w:p>
                  <w:pPr>
                    <w:widowControl w:val="0"/>
                    <w:adjustRightInd w:val="0"/>
                    <w:snapToGrid w:val="0"/>
                    <w:spacing w:before="0" w:beforeAutospacing="0" w:after="0" w:afterAutospacing="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DMF、臭气浓度</w:t>
                  </w:r>
                </w:p>
              </w:tc>
              <w:tc>
                <w:tcPr>
                  <w:tcW w:w="2693" w:type="dxa"/>
                  <w:vMerge w:val="continue"/>
                  <w:tcBorders>
                    <w:tl2br w:val="nil"/>
                    <w:tr2bl w:val="nil"/>
                  </w:tcBorders>
                  <w:shd w:val="clear" w:color="auto" w:fill="auto"/>
                  <w:vAlign w:val="center"/>
                </w:tcPr>
                <w:p>
                  <w:pPr>
                    <w:widowControl w:val="0"/>
                    <w:adjustRightInd w:val="0"/>
                    <w:snapToGrid w:val="0"/>
                    <w:spacing w:before="0" w:beforeAutospacing="0" w:after="0" w:afterAutospacing="0"/>
                    <w:jc w:val="center"/>
                    <w:rPr>
                      <w:rFonts w:hint="default" w:ascii="Times New Roman" w:hAnsi="Times New Roman" w:cs="Times New Roman"/>
                      <w:color w:val="auto"/>
                      <w:highlight w:val="none"/>
                      <w:lang w:val="en-US" w:eastAsia="zh-CN"/>
                    </w:rPr>
                  </w:pPr>
                </w:p>
              </w:tc>
              <w:tc>
                <w:tcPr>
                  <w:tcW w:w="2138" w:type="dxa"/>
                  <w:tcBorders>
                    <w:tl2br w:val="nil"/>
                    <w:tr2bl w:val="nil"/>
                  </w:tcBorders>
                  <w:shd w:val="clear" w:color="auto" w:fill="auto"/>
                  <w:vAlign w:val="center"/>
                </w:tcPr>
                <w:p>
                  <w:pPr>
                    <w:widowControl w:val="0"/>
                    <w:adjustRightInd w:val="0"/>
                    <w:snapToGrid w:val="0"/>
                    <w:spacing w:before="0" w:beforeAutospacing="0" w:after="0" w:afterAutospacing="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2022.8.19~2022.8.21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3" w:type="dxa"/>
                  <w:tcBorders>
                    <w:tl2br w:val="nil"/>
                    <w:tr2bl w:val="nil"/>
                  </w:tcBorders>
                  <w:shd w:val="clear" w:color="auto" w:fill="auto"/>
                  <w:vAlign w:val="center"/>
                </w:tcPr>
                <w:p>
                  <w:pPr>
                    <w:widowControl w:val="0"/>
                    <w:adjustRightInd w:val="0"/>
                    <w:snapToGrid w:val="0"/>
                    <w:spacing w:before="0" w:beforeAutospacing="0" w:after="0" w:afterAutospacing="0"/>
                    <w:jc w:val="center"/>
                    <w:rPr>
                      <w:rFonts w:hint="default" w:ascii="Times New Roman" w:hAnsi="Times New Roman" w:cs="Times New Roman"/>
                      <w:color w:val="auto"/>
                      <w:highlight w:val="none"/>
                    </w:rPr>
                  </w:pPr>
                  <w:r>
                    <w:rPr>
                      <w:rFonts w:hint="default" w:ascii="Times New Roman" w:hAnsi="Times New Roman" w:cs="Times New Roman"/>
                      <w:color w:val="auto"/>
                      <w:kern w:val="2"/>
                      <w:sz w:val="21"/>
                      <w:szCs w:val="24"/>
                      <w:highlight w:val="none"/>
                      <w:lang w:bidi="ar"/>
                    </w:rPr>
                    <w:t>G2</w:t>
                  </w:r>
                </w:p>
              </w:tc>
              <w:tc>
                <w:tcPr>
                  <w:tcW w:w="1091" w:type="dxa"/>
                  <w:tcBorders>
                    <w:tl2br w:val="nil"/>
                    <w:tr2bl w:val="nil"/>
                  </w:tcBorders>
                  <w:shd w:val="clear" w:color="auto" w:fill="auto"/>
                  <w:vAlign w:val="center"/>
                </w:tcPr>
                <w:p>
                  <w:pPr>
                    <w:widowControl w:val="0"/>
                    <w:adjustRightInd w:val="0"/>
                    <w:snapToGrid w:val="0"/>
                    <w:spacing w:before="0" w:beforeAutospacing="0" w:after="0" w:afterAutospacing="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柏洋村</w:t>
                  </w:r>
                </w:p>
              </w:tc>
              <w:tc>
                <w:tcPr>
                  <w:tcW w:w="1650" w:type="dxa"/>
                  <w:tcBorders>
                    <w:tl2br w:val="nil"/>
                    <w:tr2bl w:val="nil"/>
                  </w:tcBorders>
                  <w:shd w:val="clear" w:color="auto" w:fill="auto"/>
                  <w:vAlign w:val="center"/>
                </w:tcPr>
                <w:p>
                  <w:pPr>
                    <w:widowControl w:val="0"/>
                    <w:adjustRightInd w:val="0"/>
                    <w:snapToGrid w:val="0"/>
                    <w:spacing w:before="0" w:beforeAutospacing="0" w:after="0" w:afterAutospacing="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苯、二甲苯</w:t>
                  </w:r>
                </w:p>
              </w:tc>
              <w:tc>
                <w:tcPr>
                  <w:tcW w:w="2693" w:type="dxa"/>
                  <w:tcBorders>
                    <w:tl2br w:val="nil"/>
                    <w:tr2bl w:val="nil"/>
                  </w:tcBorders>
                  <w:shd w:val="clear" w:color="auto" w:fill="auto"/>
                  <w:vAlign w:val="center"/>
                </w:tcPr>
                <w:p>
                  <w:pPr>
                    <w:widowControl w:val="0"/>
                    <w:adjustRightInd w:val="0"/>
                    <w:snapToGrid w:val="0"/>
                    <w:spacing w:before="0" w:beforeAutospacing="0" w:after="0" w:afterAutospacing="0"/>
                    <w:jc w:val="center"/>
                    <w:rPr>
                      <w:rFonts w:hint="default" w:ascii="Times New Roman" w:hAnsi="Times New Roman" w:cs="Times New Roman"/>
                      <w:color w:val="auto"/>
                      <w:highlight w:val="none"/>
                    </w:rPr>
                  </w:pPr>
                  <w:r>
                    <w:rPr>
                      <w:rFonts w:hint="default" w:ascii="Times New Roman" w:hAnsi="Times New Roman" w:cs="Times New Roman"/>
                      <w:color w:val="auto"/>
                      <w:kern w:val="2"/>
                      <w:sz w:val="21"/>
                      <w:szCs w:val="24"/>
                      <w:highlight w:val="none"/>
                      <w:lang w:bidi="ar"/>
                    </w:rPr>
                    <w:t>连续监测</w:t>
                  </w:r>
                  <w:r>
                    <w:rPr>
                      <w:rFonts w:hint="default" w:ascii="Times New Roman" w:hAnsi="Times New Roman" w:cs="Times New Roman"/>
                      <w:color w:val="auto"/>
                      <w:kern w:val="2"/>
                      <w:sz w:val="21"/>
                      <w:szCs w:val="24"/>
                      <w:highlight w:val="none"/>
                      <w:lang w:val="en-US" w:eastAsia="zh-CN" w:bidi="ar"/>
                    </w:rPr>
                    <w:t>7</w:t>
                  </w:r>
                  <w:r>
                    <w:rPr>
                      <w:rFonts w:hint="default" w:ascii="Times New Roman" w:hAnsi="Times New Roman" w:cs="Times New Roman"/>
                      <w:color w:val="auto"/>
                      <w:kern w:val="2"/>
                      <w:sz w:val="21"/>
                      <w:szCs w:val="24"/>
                      <w:highlight w:val="none"/>
                      <w:lang w:bidi="ar"/>
                    </w:rPr>
                    <w:t>天，小时均值</w:t>
                  </w:r>
                </w:p>
              </w:tc>
              <w:tc>
                <w:tcPr>
                  <w:tcW w:w="2138" w:type="dxa"/>
                  <w:tcBorders>
                    <w:tl2br w:val="nil"/>
                    <w:tr2bl w:val="nil"/>
                  </w:tcBorders>
                  <w:shd w:val="clear" w:color="auto" w:fill="auto"/>
                  <w:vAlign w:val="center"/>
                </w:tcPr>
                <w:p>
                  <w:pPr>
                    <w:widowControl w:val="0"/>
                    <w:adjustRightInd w:val="0"/>
                    <w:snapToGrid w:val="0"/>
                    <w:spacing w:before="0" w:beforeAutospacing="0" w:after="0" w:afterAutospacing="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kern w:val="2"/>
                      <w:sz w:val="21"/>
                      <w:szCs w:val="24"/>
                      <w:highlight w:val="none"/>
                      <w:lang w:bidi="ar"/>
                    </w:rPr>
                    <w:t>2020.</w:t>
                  </w:r>
                  <w:r>
                    <w:rPr>
                      <w:rFonts w:hint="default" w:ascii="Times New Roman" w:hAnsi="Times New Roman" w:cs="Times New Roman"/>
                      <w:color w:val="auto"/>
                      <w:kern w:val="2"/>
                      <w:sz w:val="21"/>
                      <w:szCs w:val="24"/>
                      <w:highlight w:val="none"/>
                      <w:lang w:val="en-US" w:eastAsia="zh-CN" w:bidi="ar"/>
                    </w:rPr>
                    <w:t>7.16~2020.7.22</w:t>
                  </w:r>
                </w:p>
              </w:tc>
            </w:tr>
          </w:tbl>
          <w:p>
            <w:pPr>
              <w:pStyle w:val="5"/>
              <w:spacing w:line="240" w:lineRule="auto"/>
              <w:ind w:firstLine="480"/>
              <w:rPr>
                <w:rFonts w:hint="default" w:ascii="Times New Roman" w:hAnsi="Times New Roman" w:cs="Times New Roman"/>
                <w:color w:val="auto"/>
                <w:highlight w:val="none"/>
              </w:rPr>
            </w:pP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各污染物</w:t>
            </w:r>
            <w:r>
              <w:rPr>
                <w:rFonts w:hint="default" w:ascii="Times New Roman" w:hAnsi="Times New Roman" w:cs="Times New Roman"/>
                <w:color w:val="auto"/>
                <w:highlight w:val="none"/>
              </w:rPr>
              <w:t>环境质量现状监测统计结果见下表</w:t>
            </w:r>
            <w:r>
              <w:rPr>
                <w:rFonts w:hint="default" w:ascii="Times New Roman" w:hAnsi="Times New Roman" w:cs="Times New Roman"/>
                <w:color w:val="auto"/>
                <w:highlight w:val="none"/>
                <w:lang w:val="en-US" w:eastAsia="zh-CN"/>
              </w:rPr>
              <w:t>。</w:t>
            </w:r>
          </w:p>
          <w:p>
            <w:pPr>
              <w:pStyle w:val="15"/>
              <w:numPr>
                <w:ilvl w:val="7"/>
                <w:numId w:val="4"/>
              </w:numPr>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大气污染特征因子监测结果统计</w:t>
            </w:r>
            <w:bookmarkEnd w:id="10"/>
          </w:p>
          <w:tbl>
            <w:tblPr>
              <w:tblStyle w:val="11"/>
              <w:tblW w:w="824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402"/>
              <w:gridCol w:w="1869"/>
              <w:gridCol w:w="1764"/>
              <w:gridCol w:w="1259"/>
              <w:gridCol w:w="93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dxa"/>
                  <w:vMerge w:val="restart"/>
                  <w:tcBorders>
                    <w:tl2br w:val="nil"/>
                    <w:tr2bl w:val="nil"/>
                  </w:tcBorders>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w:t>
                  </w:r>
                </w:p>
              </w:tc>
              <w:tc>
                <w:tcPr>
                  <w:tcW w:w="1402" w:type="dxa"/>
                  <w:vMerge w:val="restart"/>
                  <w:tcBorders>
                    <w:tl2br w:val="nil"/>
                    <w:tr2bl w:val="nil"/>
                  </w:tcBorders>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3633" w:type="dxa"/>
                  <w:gridSpan w:val="2"/>
                  <w:tcBorders>
                    <w:tl2br w:val="nil"/>
                    <w:tr2bl w:val="nil"/>
                  </w:tcBorders>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1小时平均值</w:t>
                  </w:r>
                </w:p>
              </w:tc>
              <w:tc>
                <w:tcPr>
                  <w:tcW w:w="1259" w:type="dxa"/>
                  <w:vMerge w:val="restart"/>
                  <w:tcBorders>
                    <w:tl2br w:val="nil"/>
                    <w:tr2bl w:val="nil"/>
                  </w:tcBorders>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超标率%</w:t>
                  </w:r>
                </w:p>
              </w:tc>
              <w:tc>
                <w:tcPr>
                  <w:tcW w:w="938" w:type="dxa"/>
                  <w:vMerge w:val="restart"/>
                  <w:tcBorders>
                    <w:tl2br w:val="nil"/>
                    <w:tr2bl w:val="nil"/>
                  </w:tcBorders>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dxa"/>
                  <w:vMerge w:val="continue"/>
                  <w:tcBorders>
                    <w:tl2br w:val="nil"/>
                    <w:tr2bl w:val="nil"/>
                  </w:tcBorders>
                  <w:vAlign w:val="center"/>
                </w:tcPr>
                <w:p>
                  <w:pPr>
                    <w:pStyle w:val="16"/>
                    <w:rPr>
                      <w:rFonts w:hint="default" w:ascii="Times New Roman" w:hAnsi="Times New Roman" w:cs="Times New Roman"/>
                      <w:color w:val="auto"/>
                      <w:sz w:val="21"/>
                      <w:szCs w:val="21"/>
                      <w:highlight w:val="none"/>
                    </w:rPr>
                  </w:pPr>
                </w:p>
              </w:tc>
              <w:tc>
                <w:tcPr>
                  <w:tcW w:w="1402" w:type="dxa"/>
                  <w:vMerge w:val="continue"/>
                  <w:tcBorders>
                    <w:tl2br w:val="nil"/>
                    <w:tr2bl w:val="nil"/>
                  </w:tcBorders>
                  <w:vAlign w:val="center"/>
                </w:tcPr>
                <w:p>
                  <w:pPr>
                    <w:pStyle w:val="16"/>
                    <w:rPr>
                      <w:rFonts w:hint="default" w:ascii="Times New Roman" w:hAnsi="Times New Roman" w:cs="Times New Roman"/>
                      <w:color w:val="auto"/>
                      <w:sz w:val="21"/>
                      <w:szCs w:val="21"/>
                      <w:highlight w:val="none"/>
                    </w:rPr>
                  </w:pPr>
                </w:p>
              </w:tc>
              <w:tc>
                <w:tcPr>
                  <w:tcW w:w="1869" w:type="dxa"/>
                  <w:tcBorders>
                    <w:tl2br w:val="nil"/>
                    <w:tr2bl w:val="nil"/>
                  </w:tcBorders>
                  <w:vAlign w:val="center"/>
                </w:tcPr>
                <w:p>
                  <w:pPr>
                    <w:pStyle w:val="16"/>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浓度范围mg/m</w:t>
                  </w:r>
                  <w:r>
                    <w:rPr>
                      <w:rFonts w:hint="default" w:ascii="Times New Roman" w:hAnsi="Times New Roman" w:cs="Times New Roman"/>
                      <w:color w:val="auto"/>
                      <w:sz w:val="21"/>
                      <w:szCs w:val="21"/>
                      <w:highlight w:val="none"/>
                      <w:vertAlign w:val="superscript"/>
                      <w:lang w:val="en-US" w:eastAsia="zh-CN"/>
                    </w:rPr>
                    <w:t>3</w:t>
                  </w:r>
                </w:p>
              </w:tc>
              <w:tc>
                <w:tcPr>
                  <w:tcW w:w="1764" w:type="dxa"/>
                  <w:tcBorders>
                    <w:tl2br w:val="nil"/>
                    <w:tr2bl w:val="nil"/>
                  </w:tcBorders>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最大污染指数³</w:t>
                  </w:r>
                </w:p>
              </w:tc>
              <w:tc>
                <w:tcPr>
                  <w:tcW w:w="1259" w:type="dxa"/>
                  <w:vMerge w:val="continue"/>
                  <w:tcBorders>
                    <w:tl2br w:val="nil"/>
                    <w:tr2bl w:val="nil"/>
                  </w:tcBorders>
                  <w:vAlign w:val="center"/>
                </w:tcPr>
                <w:p>
                  <w:pPr>
                    <w:pStyle w:val="16"/>
                    <w:rPr>
                      <w:rFonts w:hint="default" w:ascii="Times New Roman" w:hAnsi="Times New Roman" w:cs="Times New Roman"/>
                      <w:color w:val="auto"/>
                      <w:sz w:val="21"/>
                      <w:szCs w:val="21"/>
                      <w:highlight w:val="none"/>
                    </w:rPr>
                  </w:pPr>
                </w:p>
              </w:tc>
              <w:tc>
                <w:tcPr>
                  <w:tcW w:w="938" w:type="dxa"/>
                  <w:vMerge w:val="continue"/>
                  <w:tcBorders>
                    <w:tl2br w:val="nil"/>
                    <w:tr2bl w:val="nil"/>
                  </w:tcBorders>
                  <w:vAlign w:val="bottom"/>
                </w:tcPr>
                <w:p>
                  <w:pPr>
                    <w:pStyle w:val="16"/>
                    <w:rPr>
                      <w:rFonts w:hint="default" w:ascii="Times New Roman" w:hAnsi="Times New Roman" w:cs="Times New Roman"/>
                      <w:color w:val="auto"/>
                      <w:sz w:val="21"/>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dxa"/>
                  <w:vMerge w:val="restart"/>
                  <w:tcBorders>
                    <w:tl2br w:val="nil"/>
                    <w:tr2bl w:val="nil"/>
                  </w:tcBorders>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G1</w:t>
                  </w:r>
                </w:p>
              </w:tc>
              <w:tc>
                <w:tcPr>
                  <w:tcW w:w="1402"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非甲烷总烃</w:t>
                  </w:r>
                </w:p>
              </w:tc>
              <w:tc>
                <w:tcPr>
                  <w:tcW w:w="1869"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lang w:val="en-US" w:eastAsia="zh-CN"/>
                    </w:rPr>
                  </w:pPr>
                </w:p>
              </w:tc>
              <w:tc>
                <w:tcPr>
                  <w:tcW w:w="1764"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lang w:val="en-US" w:eastAsia="zh-CN"/>
                    </w:rPr>
                  </w:pPr>
                </w:p>
              </w:tc>
              <w:tc>
                <w:tcPr>
                  <w:tcW w:w="1259"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938"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dxa"/>
                  <w:vMerge w:val="continue"/>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rPr>
                  </w:pPr>
                </w:p>
              </w:tc>
              <w:tc>
                <w:tcPr>
                  <w:tcW w:w="1402"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DMF</w:t>
                  </w:r>
                </w:p>
              </w:tc>
              <w:tc>
                <w:tcPr>
                  <w:tcW w:w="18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764"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rPr>
                  </w:pPr>
                </w:p>
              </w:tc>
              <w:tc>
                <w:tcPr>
                  <w:tcW w:w="1259"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938" w:type="dxa"/>
                  <w:tcBorders>
                    <w:tl2br w:val="nil"/>
                    <w:tr2bl w:val="nil"/>
                  </w:tcBorders>
                  <w:vAlign w:val="center"/>
                </w:tcPr>
                <w:p>
                  <w:pPr>
                    <w:pStyle w:val="16"/>
                    <w:ind w:left="0" w:lef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dxa"/>
                  <w:vMerge w:val="continue"/>
                  <w:tcBorders>
                    <w:tl2br w:val="nil"/>
                    <w:tr2bl w:val="nil"/>
                  </w:tcBorders>
                  <w:vAlign w:val="center"/>
                </w:tcPr>
                <w:p>
                  <w:pPr>
                    <w:pStyle w:val="16"/>
                    <w:ind w:left="0" w:leftChars="0" w:firstLine="0" w:firstLineChars="0"/>
                    <w:rPr>
                      <w:rFonts w:hint="default" w:ascii="Times New Roman" w:hAnsi="Times New Roman" w:cs="Times New Roman"/>
                      <w:color w:val="auto"/>
                      <w:sz w:val="21"/>
                      <w:szCs w:val="21"/>
                      <w:highlight w:val="none"/>
                    </w:rPr>
                  </w:pPr>
                </w:p>
              </w:tc>
              <w:tc>
                <w:tcPr>
                  <w:tcW w:w="1402"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臭气浓度</w:t>
                  </w:r>
                </w:p>
              </w:tc>
              <w:tc>
                <w:tcPr>
                  <w:tcW w:w="18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1764"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lang w:val="en-US" w:eastAsia="zh-CN"/>
                    </w:rPr>
                  </w:pPr>
                </w:p>
              </w:tc>
              <w:tc>
                <w:tcPr>
                  <w:tcW w:w="1259"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938" w:type="dxa"/>
                  <w:tcBorders>
                    <w:tl2br w:val="nil"/>
                    <w:tr2bl w:val="nil"/>
                  </w:tcBorders>
                  <w:vAlign w:val="center"/>
                </w:tcPr>
                <w:p>
                  <w:pPr>
                    <w:pStyle w:val="16"/>
                    <w:ind w:left="0" w:lef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dxa"/>
                  <w:vMerge w:val="restart"/>
                  <w:tcBorders>
                    <w:tl2br w:val="nil"/>
                    <w:tr2bl w:val="nil"/>
                  </w:tcBorders>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G2</w:t>
                  </w:r>
                </w:p>
              </w:tc>
              <w:tc>
                <w:tcPr>
                  <w:tcW w:w="1402" w:type="dxa"/>
                  <w:tcBorders>
                    <w:tl2br w:val="nil"/>
                    <w:tr2bl w:val="nil"/>
                  </w:tcBorders>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苯</w:t>
                  </w:r>
                </w:p>
              </w:tc>
              <w:tc>
                <w:tcPr>
                  <w:tcW w:w="18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p>
              </w:tc>
              <w:tc>
                <w:tcPr>
                  <w:tcW w:w="1764" w:type="dxa"/>
                  <w:tcBorders>
                    <w:tl2br w:val="nil"/>
                    <w:tr2bl w:val="nil"/>
                  </w:tcBorders>
                  <w:vAlign w:val="center"/>
                </w:tcPr>
                <w:p>
                  <w:pPr>
                    <w:pStyle w:val="16"/>
                    <w:rPr>
                      <w:rFonts w:hint="default" w:ascii="Times New Roman" w:hAnsi="Times New Roman" w:cs="Times New Roman"/>
                      <w:color w:val="auto"/>
                      <w:sz w:val="21"/>
                      <w:szCs w:val="21"/>
                      <w:highlight w:val="none"/>
                    </w:rPr>
                  </w:pPr>
                </w:p>
              </w:tc>
              <w:tc>
                <w:tcPr>
                  <w:tcW w:w="1259" w:type="dxa"/>
                  <w:tcBorders>
                    <w:tl2br w:val="nil"/>
                    <w:tr2bl w:val="nil"/>
                  </w:tcBorders>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938" w:type="dxa"/>
                  <w:tcBorders>
                    <w:tl2br w:val="nil"/>
                    <w:tr2bl w:val="nil"/>
                  </w:tcBorders>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dxa"/>
                  <w:vMerge w:val="continue"/>
                  <w:tcBorders>
                    <w:tl2br w:val="nil"/>
                    <w:tr2bl w:val="nil"/>
                  </w:tcBorders>
                  <w:vAlign w:val="center"/>
                </w:tcPr>
                <w:p>
                  <w:pPr>
                    <w:pStyle w:val="16"/>
                    <w:rPr>
                      <w:rFonts w:hint="default" w:ascii="Times New Roman" w:hAnsi="Times New Roman" w:cs="Times New Roman"/>
                      <w:color w:val="auto"/>
                      <w:sz w:val="21"/>
                      <w:szCs w:val="21"/>
                      <w:highlight w:val="none"/>
                    </w:rPr>
                  </w:pPr>
                </w:p>
              </w:tc>
              <w:tc>
                <w:tcPr>
                  <w:tcW w:w="1402" w:type="dxa"/>
                  <w:tcBorders>
                    <w:tl2br w:val="nil"/>
                    <w:tr2bl w:val="nil"/>
                  </w:tcBorders>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二甲苯</w:t>
                  </w:r>
                </w:p>
              </w:tc>
              <w:tc>
                <w:tcPr>
                  <w:tcW w:w="186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bidi="ar"/>
                    </w:rPr>
                  </w:pPr>
                </w:p>
              </w:tc>
              <w:tc>
                <w:tcPr>
                  <w:tcW w:w="1764" w:type="dxa"/>
                  <w:tcBorders>
                    <w:tl2br w:val="nil"/>
                    <w:tr2bl w:val="nil"/>
                  </w:tcBorders>
                  <w:vAlign w:val="center"/>
                </w:tcPr>
                <w:p>
                  <w:pPr>
                    <w:pStyle w:val="16"/>
                    <w:rPr>
                      <w:rFonts w:hint="default" w:ascii="Times New Roman" w:hAnsi="Times New Roman" w:eastAsia="宋体" w:cs="Times New Roman"/>
                      <w:color w:val="auto"/>
                      <w:sz w:val="21"/>
                      <w:szCs w:val="21"/>
                      <w:highlight w:val="none"/>
                      <w:lang w:val="en-US" w:eastAsia="zh-CN"/>
                    </w:rPr>
                  </w:pPr>
                </w:p>
              </w:tc>
              <w:tc>
                <w:tcPr>
                  <w:tcW w:w="1259" w:type="dxa"/>
                  <w:tcBorders>
                    <w:tl2br w:val="nil"/>
                    <w:tr2bl w:val="nil"/>
                  </w:tcBorders>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938" w:type="dxa"/>
                  <w:tcBorders>
                    <w:tl2br w:val="nil"/>
                    <w:tr2bl w:val="nil"/>
                  </w:tcBorders>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bl>
          <w:p>
            <w:pPr>
              <w:pStyle w:val="5"/>
              <w:spacing w:line="240" w:lineRule="auto"/>
              <w:ind w:firstLine="480"/>
              <w:rPr>
                <w:rFonts w:hint="default" w:ascii="Times New Roman" w:hAnsi="Times New Roman" w:cs="Times New Roman"/>
                <w:color w:val="auto"/>
                <w:highlight w:val="none"/>
              </w:rPr>
            </w:pP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沙淀村</w:t>
            </w:r>
            <w:r>
              <w:rPr>
                <w:rFonts w:hint="default" w:ascii="Times New Roman" w:hAnsi="Times New Roman" w:cs="Times New Roman"/>
                <w:color w:val="auto"/>
                <w:highlight w:val="none"/>
                <w:lang w:val="en-US" w:eastAsia="zh-CN"/>
              </w:rPr>
              <w:t>处</w:t>
            </w:r>
            <w:r>
              <w:rPr>
                <w:rFonts w:hint="default" w:ascii="Times New Roman" w:hAnsi="Times New Roman" w:cs="Times New Roman"/>
                <w:color w:val="auto"/>
                <w:highlight w:val="none"/>
                <w:lang w:bidi="ar"/>
              </w:rPr>
              <w:t>非甲烷总烃</w:t>
            </w:r>
            <w:r>
              <w:rPr>
                <w:rFonts w:hint="default" w:ascii="Times New Roman" w:hAnsi="Times New Roman" w:cs="Times New Roman"/>
                <w:color w:val="auto"/>
                <w:highlight w:val="none"/>
                <w:lang w:val="en-US" w:eastAsia="zh-CN" w:bidi="ar"/>
              </w:rPr>
              <w:t>可</w:t>
            </w:r>
            <w:r>
              <w:rPr>
                <w:rFonts w:hint="default" w:ascii="Times New Roman" w:hAnsi="Times New Roman" w:cs="Times New Roman"/>
                <w:color w:val="auto"/>
                <w:highlight w:val="none"/>
                <w:lang w:bidi="ar"/>
              </w:rPr>
              <w:t>满足《大气污染物综合排放标准详解》中的标准限值</w:t>
            </w:r>
            <w:r>
              <w:rPr>
                <w:rFonts w:hint="eastAsia" w:cs="Times New Roman"/>
                <w:color w:val="auto"/>
                <w:highlight w:val="none"/>
                <w:lang w:eastAsia="zh-CN" w:bidi="ar"/>
              </w:rPr>
              <w:t>，DMF满足《合成革与人造革工业污染物排放标准（征求意见稿）编制说明》限值</w:t>
            </w:r>
            <w:r>
              <w:rPr>
                <w:rFonts w:hint="default" w:ascii="Times New Roman" w:hAnsi="Times New Roman" w:cs="Times New Roman"/>
                <w:color w:val="auto"/>
                <w:highlight w:val="none"/>
                <w:lang w:bidi="ar"/>
              </w:rPr>
              <w:t>。</w:t>
            </w:r>
            <w:r>
              <w:rPr>
                <w:rFonts w:hint="default" w:ascii="Times New Roman" w:hAnsi="Times New Roman" w:cs="Times New Roman"/>
                <w:color w:val="auto"/>
                <w:highlight w:val="none"/>
                <w:lang w:val="en-US" w:eastAsia="zh-CN" w:bidi="ar"/>
              </w:rPr>
              <w:t>柏洋村处</w:t>
            </w:r>
            <w:r>
              <w:rPr>
                <w:rFonts w:hint="default" w:ascii="Times New Roman" w:hAnsi="Times New Roman" w:cs="Times New Roman"/>
                <w:color w:val="auto"/>
                <w:highlight w:val="none"/>
                <w:lang w:bidi="ar"/>
              </w:rPr>
              <w:t>的</w:t>
            </w:r>
            <w:r>
              <w:rPr>
                <w:rFonts w:hint="default" w:ascii="Times New Roman" w:hAnsi="Times New Roman" w:cs="Times New Roman"/>
                <w:color w:val="auto"/>
                <w:highlight w:val="none"/>
                <w:lang w:val="en-US" w:eastAsia="zh-CN" w:bidi="ar"/>
              </w:rPr>
              <w:t>苯、二甲苯</w:t>
            </w:r>
            <w:r>
              <w:rPr>
                <w:rFonts w:hint="default" w:ascii="Times New Roman" w:hAnsi="Times New Roman" w:cs="Times New Roman"/>
                <w:color w:val="auto"/>
                <w:highlight w:val="none"/>
                <w:lang w:bidi="ar"/>
              </w:rPr>
              <w:t>可满足《环境影响评价技术导则-大气环境》（HJ2.2-2018）附录D标准限值。因此，项目</w:t>
            </w:r>
            <w:r>
              <w:rPr>
                <w:rFonts w:hint="default" w:ascii="Times New Roman" w:hAnsi="Times New Roman" w:cs="Times New Roman"/>
                <w:color w:val="auto"/>
                <w:highlight w:val="none"/>
              </w:rPr>
              <w:t>区域环境空气质量现状良好。</w:t>
            </w:r>
          </w:p>
          <w:p>
            <w:pPr>
              <w:pStyle w:val="2"/>
              <w:numPr>
                <w:ilvl w:val="1"/>
                <w:numId w:val="4"/>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地表水环境质量现状</w:t>
            </w:r>
          </w:p>
          <w:p>
            <w:pPr>
              <w:pStyle w:val="5"/>
              <w:ind w:firstLine="480"/>
              <w:rPr>
                <w:rFonts w:hint="default" w:ascii="Times New Roman" w:hAnsi="Times New Roman" w:cs="Times New Roman"/>
                <w:color w:val="auto"/>
                <w:highlight w:val="none"/>
                <w:lang w:val="en-US" w:eastAsia="zh-CN"/>
              </w:rPr>
            </w:pPr>
            <w:bookmarkStart w:id="11" w:name="_Ref12330"/>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val="en-US" w:eastAsia="zh-CN"/>
              </w:rPr>
              <w:t>冷凝水</w:t>
            </w:r>
            <w:r>
              <w:rPr>
                <w:rFonts w:hint="default" w:ascii="Times New Roman" w:hAnsi="Times New Roman" w:cs="Times New Roman"/>
                <w:color w:val="auto"/>
                <w:sz w:val="24"/>
                <w:szCs w:val="32"/>
                <w:highlight w:val="none"/>
                <w:lang w:val="en-US" w:eastAsia="zh-CN"/>
              </w:rPr>
              <w:t>回用于生产，不</w:t>
            </w:r>
            <w:r>
              <w:rPr>
                <w:rFonts w:hint="default" w:ascii="Times New Roman" w:hAnsi="Times New Roman" w:cs="Times New Roman"/>
                <w:color w:val="auto"/>
                <w:sz w:val="24"/>
                <w:szCs w:val="32"/>
                <w:highlight w:val="none"/>
              </w:rPr>
              <w:t>排放，</w:t>
            </w:r>
            <w:r>
              <w:rPr>
                <w:rFonts w:hint="default" w:ascii="Times New Roman" w:hAnsi="Times New Roman" w:cs="Times New Roman"/>
                <w:color w:val="auto"/>
                <w:sz w:val="24"/>
                <w:szCs w:val="32"/>
                <w:highlight w:val="none"/>
                <w:lang w:val="en-US" w:eastAsia="zh-CN"/>
              </w:rPr>
              <w:t>厂区</w:t>
            </w:r>
            <w:r>
              <w:rPr>
                <w:rFonts w:hint="default" w:ascii="Times New Roman" w:hAnsi="Times New Roman" w:cs="Times New Roman"/>
                <w:color w:val="auto"/>
                <w:highlight w:val="none"/>
              </w:rPr>
              <w:t>生活污水</w:t>
            </w:r>
            <w:r>
              <w:rPr>
                <w:rFonts w:hint="default" w:ascii="Times New Roman" w:hAnsi="Times New Roman" w:cs="Times New Roman"/>
                <w:color w:val="auto"/>
                <w:highlight w:val="none"/>
                <w:lang w:val="en-US" w:eastAsia="zh-CN"/>
              </w:rPr>
              <w:t>经化粪</w:t>
            </w:r>
            <w:r>
              <w:rPr>
                <w:rFonts w:hint="default" w:ascii="Times New Roman" w:hAnsi="Times New Roman" w:eastAsia="宋体" w:cs="Times New Roman"/>
                <w:color w:val="auto"/>
                <w:highlight w:val="none"/>
                <w:lang w:val="en-US" w:eastAsia="zh-CN"/>
              </w:rPr>
              <w:t>池</w:t>
            </w:r>
            <w:r>
              <w:rPr>
                <w:rFonts w:hint="default" w:ascii="Times New Roman" w:hAnsi="Times New Roman" w:eastAsia="宋体" w:cs="Times New Roman"/>
                <w:color w:val="auto"/>
                <w:highlight w:val="none"/>
              </w:rPr>
              <w:t>预处理后纳入文渡污</w:t>
            </w:r>
            <w:r>
              <w:rPr>
                <w:rFonts w:hint="default" w:ascii="Times New Roman" w:hAnsi="Times New Roman" w:cs="Times New Roman"/>
                <w:color w:val="auto"/>
                <w:highlight w:val="none"/>
              </w:rPr>
              <w:t>水处理厂处理后排放至滞洪区，最终汇入晴川湾。根据宁德市生态环境局网站2022年4月21日公布的《宁德市环境质量状况2021年度》的内容可知：2020年~2021年，晴川湾水质达到《海水水质标准》(GB3097-1997)第一类海水水质标准，说明晴川湾水环境质量现状较好。具体晴川湾近海海域水质类别见</w:t>
            </w:r>
            <w:r>
              <w:rPr>
                <w:rFonts w:hint="default" w:ascii="Times New Roman" w:hAnsi="Times New Roman" w:cs="Times New Roman"/>
                <w:color w:val="auto"/>
                <w:highlight w:val="none"/>
                <w:lang w:val="en-US" w:eastAsia="zh-CN"/>
              </w:rPr>
              <w:t>下表。</w:t>
            </w:r>
          </w:p>
          <w:bookmarkEnd w:id="11"/>
          <w:p>
            <w:pPr>
              <w:pStyle w:val="1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晴川湾</w:t>
            </w:r>
            <w:r>
              <w:rPr>
                <w:rFonts w:hint="default" w:ascii="Times New Roman" w:hAnsi="Times New Roman" w:cs="Times New Roman"/>
                <w:color w:val="auto"/>
                <w:highlight w:val="none"/>
              </w:rPr>
              <w:t>近海海域水质</w:t>
            </w:r>
            <w:r>
              <w:rPr>
                <w:rFonts w:hint="default" w:ascii="Times New Roman" w:hAnsi="Times New Roman" w:cs="Times New Roman"/>
                <w:color w:val="auto"/>
                <w:highlight w:val="none"/>
                <w:lang w:val="en-US" w:eastAsia="zh-CN"/>
              </w:rPr>
              <w:t>情况</w:t>
            </w:r>
            <w:r>
              <w:rPr>
                <w:rFonts w:hint="default" w:ascii="Times New Roman" w:hAnsi="Times New Roman" w:cs="Times New Roman"/>
                <w:color w:val="auto"/>
                <w:highlight w:val="none"/>
              </w:rPr>
              <w:t>表</w:t>
            </w:r>
          </w:p>
          <w:tbl>
            <w:tblPr>
              <w:tblStyle w:val="11"/>
              <w:tblW w:w="8280"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122"/>
              <w:gridCol w:w="1401"/>
              <w:gridCol w:w="843"/>
              <w:gridCol w:w="1401"/>
              <w:gridCol w:w="1002"/>
              <w:gridCol w:w="166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 w:type="dxa"/>
                  <w:vMerge w:val="restart"/>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1122" w:type="dxa"/>
                  <w:vMerge w:val="restart"/>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站点</w:t>
                  </w:r>
                </w:p>
              </w:tc>
              <w:tc>
                <w:tcPr>
                  <w:tcW w:w="1401" w:type="dxa"/>
                  <w:vMerge w:val="restart"/>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所属海域</w:t>
                  </w:r>
                </w:p>
              </w:tc>
              <w:tc>
                <w:tcPr>
                  <w:tcW w:w="2244" w:type="dxa"/>
                  <w:gridSpan w:val="2"/>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水质类别</w:t>
                  </w:r>
                </w:p>
              </w:tc>
              <w:tc>
                <w:tcPr>
                  <w:tcW w:w="2670" w:type="dxa"/>
                  <w:gridSpan w:val="2"/>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一类~二类水质比例</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 w:type="dxa"/>
                  <w:vMerge w:val="continue"/>
                  <w:tcBorders>
                    <w:tl2br w:val="nil"/>
                    <w:tr2bl w:val="nil"/>
                  </w:tcBorders>
                  <w:vAlign w:val="center"/>
                </w:tcPr>
                <w:p>
                  <w:pPr>
                    <w:pStyle w:val="16"/>
                    <w:rPr>
                      <w:rFonts w:hint="default" w:ascii="Times New Roman" w:hAnsi="Times New Roman" w:cs="Times New Roman"/>
                      <w:color w:val="auto"/>
                      <w:highlight w:val="none"/>
                    </w:rPr>
                  </w:pPr>
                </w:p>
              </w:tc>
              <w:tc>
                <w:tcPr>
                  <w:tcW w:w="1122" w:type="dxa"/>
                  <w:vMerge w:val="continue"/>
                  <w:tcBorders>
                    <w:tl2br w:val="nil"/>
                    <w:tr2bl w:val="nil"/>
                  </w:tcBorders>
                  <w:vAlign w:val="center"/>
                </w:tcPr>
                <w:p>
                  <w:pPr>
                    <w:pStyle w:val="16"/>
                    <w:rPr>
                      <w:rFonts w:hint="default" w:ascii="Times New Roman" w:hAnsi="Times New Roman" w:cs="Times New Roman"/>
                      <w:color w:val="auto"/>
                      <w:highlight w:val="none"/>
                    </w:rPr>
                  </w:pPr>
                </w:p>
              </w:tc>
              <w:tc>
                <w:tcPr>
                  <w:tcW w:w="1401" w:type="dxa"/>
                  <w:vMerge w:val="continue"/>
                  <w:tcBorders>
                    <w:tl2br w:val="nil"/>
                    <w:tr2bl w:val="nil"/>
                  </w:tcBorders>
                  <w:vAlign w:val="center"/>
                </w:tcPr>
                <w:p>
                  <w:pPr>
                    <w:pStyle w:val="16"/>
                    <w:rPr>
                      <w:rFonts w:hint="default" w:ascii="Times New Roman" w:hAnsi="Times New Roman" w:cs="Times New Roman"/>
                      <w:color w:val="auto"/>
                      <w:highlight w:val="none"/>
                    </w:rPr>
                  </w:pPr>
                </w:p>
              </w:tc>
              <w:tc>
                <w:tcPr>
                  <w:tcW w:w="843"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本期</w:t>
                  </w:r>
                </w:p>
              </w:tc>
              <w:tc>
                <w:tcPr>
                  <w:tcW w:w="1401"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上年同期</w:t>
                  </w:r>
                </w:p>
              </w:tc>
              <w:tc>
                <w:tcPr>
                  <w:tcW w:w="1002"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本期</w:t>
                  </w:r>
                </w:p>
              </w:tc>
              <w:tc>
                <w:tcPr>
                  <w:tcW w:w="1668"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上年同期</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1122"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晴川湾</w:t>
                  </w:r>
                </w:p>
              </w:tc>
              <w:tc>
                <w:tcPr>
                  <w:tcW w:w="1401"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843"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一类</w:t>
                  </w:r>
                </w:p>
              </w:tc>
              <w:tc>
                <w:tcPr>
                  <w:tcW w:w="1401"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一类</w:t>
                  </w:r>
                </w:p>
              </w:tc>
              <w:tc>
                <w:tcPr>
                  <w:tcW w:w="1002"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100</w:t>
                  </w:r>
                </w:p>
              </w:tc>
              <w:tc>
                <w:tcPr>
                  <w:tcW w:w="1668"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100</w:t>
                  </w:r>
                </w:p>
              </w:tc>
            </w:tr>
          </w:tbl>
          <w:p>
            <w:pPr>
              <w:pStyle w:val="16"/>
              <w:rPr>
                <w:rFonts w:hint="default" w:ascii="Times New Roman" w:hAnsi="Times New Roman" w:cs="Times New Roman"/>
                <w:color w:val="auto"/>
                <w:highlight w:val="none"/>
              </w:rPr>
            </w:pPr>
          </w:p>
          <w:p>
            <w:pPr>
              <w:pStyle w:val="2"/>
              <w:numPr>
                <w:ilvl w:val="1"/>
                <w:numId w:val="4"/>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声环境质量现状</w:t>
            </w:r>
          </w:p>
          <w:p>
            <w:pPr>
              <w:pStyle w:val="5"/>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为了解本项目所在区域声环境现状，本评价委托</w:t>
            </w:r>
            <w:r>
              <w:rPr>
                <w:rFonts w:hint="default" w:ascii="Times New Roman" w:hAnsi="Times New Roman" w:cs="Times New Roman"/>
                <w:color w:val="auto"/>
                <w:highlight w:val="none"/>
                <w:lang w:val="en-US" w:eastAsia="zh-CN"/>
              </w:rPr>
              <w:t>厦门科仪</w:t>
            </w:r>
            <w:r>
              <w:rPr>
                <w:rFonts w:hint="default" w:ascii="Times New Roman" w:hAnsi="Times New Roman" w:eastAsia="宋体" w:cs="Times New Roman"/>
                <w:color w:val="auto"/>
                <w:highlight w:val="none"/>
              </w:rPr>
              <w:t>检测</w:t>
            </w:r>
            <w:r>
              <w:rPr>
                <w:rFonts w:hint="default" w:ascii="Times New Roman" w:hAnsi="Times New Roman" w:cs="Times New Roman"/>
                <w:color w:val="auto"/>
                <w:highlight w:val="none"/>
                <w:lang w:val="en-US" w:eastAsia="zh-CN"/>
              </w:rPr>
              <w:t>技术</w:t>
            </w:r>
            <w:r>
              <w:rPr>
                <w:rFonts w:hint="default" w:ascii="Times New Roman" w:hAnsi="Times New Roman" w:eastAsia="宋体" w:cs="Times New Roman"/>
                <w:color w:val="auto"/>
                <w:highlight w:val="none"/>
              </w:rPr>
              <w:t>有限公司于202</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年</w:t>
            </w: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月</w:t>
            </w:r>
            <w:r>
              <w:rPr>
                <w:rFonts w:hint="default" w:ascii="Times New Roman" w:hAnsi="Times New Roman" w:eastAsia="宋体" w:cs="Times New Roman"/>
                <w:color w:val="auto"/>
                <w:highlight w:val="none"/>
                <w:lang w:val="en-US" w:eastAsia="zh-CN"/>
              </w:rPr>
              <w:t>19</w:t>
            </w:r>
            <w:r>
              <w:rPr>
                <w:rFonts w:hint="default" w:ascii="Times New Roman" w:hAnsi="Times New Roman" w:eastAsia="宋体" w:cs="Times New Roman"/>
                <w:color w:val="auto"/>
                <w:highlight w:val="none"/>
              </w:rPr>
              <w:t>日在正常工况下对厂界</w:t>
            </w:r>
            <w:r>
              <w:rPr>
                <w:rFonts w:hint="default" w:ascii="Times New Roman" w:hAnsi="Times New Roman" w:eastAsia="宋体" w:cs="Times New Roman"/>
                <w:color w:val="auto"/>
                <w:highlight w:val="none"/>
                <w:lang w:val="en-US" w:eastAsia="zh-CN"/>
              </w:rPr>
              <w:t>昼、夜间</w:t>
            </w:r>
            <w:r>
              <w:rPr>
                <w:rFonts w:hint="default" w:ascii="Times New Roman" w:hAnsi="Times New Roman" w:eastAsia="宋体" w:cs="Times New Roman"/>
                <w:color w:val="auto"/>
                <w:highlight w:val="none"/>
              </w:rPr>
              <w:t>生产噪声</w:t>
            </w:r>
            <w:r>
              <w:rPr>
                <w:rFonts w:hint="default" w:ascii="Times New Roman" w:hAnsi="Times New Roman" w:cs="Times New Roman"/>
                <w:color w:val="auto"/>
                <w:highlight w:val="none"/>
                <w:lang w:val="en-US" w:eastAsia="zh-CN"/>
              </w:rPr>
              <w:t>及海天广场昼、夜环境噪声</w:t>
            </w:r>
            <w:r>
              <w:rPr>
                <w:rFonts w:hint="default" w:ascii="Times New Roman" w:hAnsi="Times New Roman" w:eastAsia="宋体" w:cs="Times New Roman"/>
                <w:color w:val="auto"/>
                <w:highlight w:val="none"/>
              </w:rPr>
              <w:t>进行监测</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监测点位布置见</w:t>
            </w:r>
            <w:r>
              <w:rPr>
                <w:rFonts w:hint="default" w:ascii="Times New Roman" w:hAnsi="Times New Roman" w:cs="Times New Roman"/>
                <w:color w:val="auto"/>
                <w:highlight w:val="none"/>
                <w:lang w:val="en-US" w:eastAsia="zh-CN"/>
              </w:rPr>
              <w:t>附图6</w:t>
            </w:r>
            <w:r>
              <w:rPr>
                <w:rFonts w:hint="default" w:ascii="Times New Roman" w:hAnsi="Times New Roman" w:eastAsia="宋体" w:cs="Times New Roman"/>
                <w:color w:val="auto"/>
                <w:highlight w:val="none"/>
              </w:rPr>
              <w:t>。</w:t>
            </w:r>
          </w:p>
          <w:p>
            <w:pPr>
              <w:pStyle w:val="5"/>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项目厂界区域噪声现状监测结果详</w:t>
            </w:r>
            <w:r>
              <w:rPr>
                <w:rFonts w:hint="default" w:ascii="Times New Roman" w:hAnsi="Times New Roman" w:cs="Times New Roman"/>
                <w:color w:val="auto"/>
                <w:highlight w:val="none"/>
                <w:lang w:val="en-US" w:eastAsia="zh-CN"/>
              </w:rPr>
              <w:t>见下表</w:t>
            </w:r>
            <w:r>
              <w:rPr>
                <w:rFonts w:hint="default" w:ascii="Times New Roman" w:hAnsi="Times New Roman" w:eastAsia="宋体" w:cs="Times New Roman"/>
                <w:color w:val="auto"/>
                <w:highlight w:val="none"/>
              </w:rPr>
              <w:t>。</w:t>
            </w:r>
          </w:p>
          <w:p>
            <w:pPr>
              <w:pStyle w:val="15"/>
              <w:spacing w:line="240" w:lineRule="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 厂界噪声现状监测结果 单位：dB（A）</w:t>
            </w:r>
          </w:p>
          <w:tbl>
            <w:tblPr>
              <w:tblStyle w:val="11"/>
              <w:tblW w:w="8283"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2589"/>
              <w:gridCol w:w="1847"/>
              <w:gridCol w:w="247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9" w:type="dxa"/>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采样时间</w:t>
                  </w:r>
                </w:p>
              </w:tc>
              <w:tc>
                <w:tcPr>
                  <w:tcW w:w="2589" w:type="dxa"/>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检测点位</w:t>
                  </w:r>
                </w:p>
              </w:tc>
              <w:tc>
                <w:tcPr>
                  <w:tcW w:w="4325" w:type="dxa"/>
                  <w:gridSpan w:val="2"/>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监测结果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9"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2589"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184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247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9" w:type="dxa"/>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19</w:t>
                  </w:r>
                </w:p>
              </w:tc>
              <w:tc>
                <w:tcPr>
                  <w:tcW w:w="258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N1</w:t>
                  </w:r>
                  <w:r>
                    <w:rPr>
                      <w:rFonts w:hint="default" w:ascii="Times New Roman" w:hAnsi="Times New Roman" w:cs="Times New Roman"/>
                      <w:color w:val="auto"/>
                      <w:sz w:val="21"/>
                      <w:szCs w:val="21"/>
                      <w:highlight w:val="none"/>
                      <w:lang w:val="en-US" w:eastAsia="zh-CN"/>
                    </w:rPr>
                    <w:t>东</w:t>
                  </w:r>
                  <w:r>
                    <w:rPr>
                      <w:rFonts w:hint="default" w:ascii="Times New Roman" w:hAnsi="Times New Roman" w:cs="Times New Roman"/>
                      <w:color w:val="auto"/>
                      <w:sz w:val="21"/>
                      <w:szCs w:val="21"/>
                      <w:highlight w:val="none"/>
                    </w:rPr>
                    <w:t>侧厂界外1m</w:t>
                  </w:r>
                </w:p>
              </w:tc>
              <w:tc>
                <w:tcPr>
                  <w:tcW w:w="184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59.7</w:t>
                  </w:r>
                </w:p>
              </w:tc>
              <w:tc>
                <w:tcPr>
                  <w:tcW w:w="247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52.3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9"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258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N2</w:t>
                  </w:r>
                  <w:r>
                    <w:rPr>
                      <w:rFonts w:hint="default" w:ascii="Times New Roman" w:hAnsi="Times New Roman" w:cs="Times New Roman"/>
                      <w:color w:val="auto"/>
                      <w:sz w:val="21"/>
                      <w:szCs w:val="21"/>
                      <w:highlight w:val="none"/>
                      <w:lang w:val="en-US" w:eastAsia="zh-CN"/>
                    </w:rPr>
                    <w:t>南</w:t>
                  </w:r>
                  <w:r>
                    <w:rPr>
                      <w:rFonts w:hint="default" w:ascii="Times New Roman" w:hAnsi="Times New Roman" w:cs="Times New Roman"/>
                      <w:color w:val="auto"/>
                      <w:sz w:val="21"/>
                      <w:szCs w:val="21"/>
                      <w:highlight w:val="none"/>
                    </w:rPr>
                    <w:t>侧厂界外1m</w:t>
                  </w:r>
                </w:p>
              </w:tc>
              <w:tc>
                <w:tcPr>
                  <w:tcW w:w="184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61.3</w:t>
                  </w:r>
                </w:p>
              </w:tc>
              <w:tc>
                <w:tcPr>
                  <w:tcW w:w="247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9"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258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N3</w:t>
                  </w:r>
                  <w:r>
                    <w:rPr>
                      <w:rFonts w:hint="default" w:ascii="Times New Roman" w:hAnsi="Times New Roman" w:cs="Times New Roman"/>
                      <w:color w:val="auto"/>
                      <w:sz w:val="21"/>
                      <w:szCs w:val="21"/>
                      <w:highlight w:val="none"/>
                      <w:lang w:val="en-US" w:eastAsia="zh-CN"/>
                    </w:rPr>
                    <w:t>西</w:t>
                  </w:r>
                  <w:r>
                    <w:rPr>
                      <w:rFonts w:hint="default" w:ascii="Times New Roman" w:hAnsi="Times New Roman" w:cs="Times New Roman"/>
                      <w:color w:val="auto"/>
                      <w:sz w:val="21"/>
                      <w:szCs w:val="21"/>
                      <w:highlight w:val="none"/>
                    </w:rPr>
                    <w:t>侧厂界外1m</w:t>
                  </w:r>
                </w:p>
              </w:tc>
              <w:tc>
                <w:tcPr>
                  <w:tcW w:w="184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58.6</w:t>
                  </w:r>
                </w:p>
              </w:tc>
              <w:tc>
                <w:tcPr>
                  <w:tcW w:w="247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49.7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9" w:type="dxa"/>
                  <w:vMerge w:val="continue"/>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258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N4</w:t>
                  </w:r>
                  <w:r>
                    <w:rPr>
                      <w:rFonts w:hint="default" w:ascii="Times New Roman" w:hAnsi="Times New Roman" w:cs="Times New Roman"/>
                      <w:color w:val="auto"/>
                      <w:sz w:val="21"/>
                      <w:szCs w:val="21"/>
                      <w:highlight w:val="none"/>
                      <w:lang w:val="en-US" w:eastAsia="zh-CN"/>
                    </w:rPr>
                    <w:t>北</w:t>
                  </w:r>
                  <w:r>
                    <w:rPr>
                      <w:rFonts w:hint="default" w:ascii="Times New Roman" w:hAnsi="Times New Roman" w:cs="Times New Roman"/>
                      <w:color w:val="auto"/>
                      <w:sz w:val="21"/>
                      <w:szCs w:val="21"/>
                      <w:highlight w:val="none"/>
                    </w:rPr>
                    <w:t>侧厂界外1m</w:t>
                  </w:r>
                </w:p>
              </w:tc>
              <w:tc>
                <w:tcPr>
                  <w:tcW w:w="184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62.1</w:t>
                  </w:r>
                </w:p>
              </w:tc>
              <w:tc>
                <w:tcPr>
                  <w:tcW w:w="247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51.4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8" w:type="dxa"/>
                  <w:gridSpan w:val="2"/>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标准值</w:t>
                  </w:r>
                </w:p>
              </w:tc>
              <w:tc>
                <w:tcPr>
                  <w:tcW w:w="184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w:t>
                  </w:r>
                </w:p>
              </w:tc>
              <w:tc>
                <w:tcPr>
                  <w:tcW w:w="247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19</w:t>
                  </w:r>
                </w:p>
              </w:tc>
              <w:tc>
                <w:tcPr>
                  <w:tcW w:w="258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N5海天广场</w:t>
                  </w:r>
                </w:p>
              </w:tc>
              <w:tc>
                <w:tcPr>
                  <w:tcW w:w="184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57.2</w:t>
                  </w:r>
                </w:p>
              </w:tc>
              <w:tc>
                <w:tcPr>
                  <w:tcW w:w="247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44.3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8" w:type="dxa"/>
                  <w:gridSpan w:val="2"/>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标准值</w:t>
                  </w:r>
                </w:p>
              </w:tc>
              <w:tc>
                <w:tcPr>
                  <w:tcW w:w="184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p>
              </w:tc>
              <w:tc>
                <w:tcPr>
                  <w:tcW w:w="247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r>
          </w:tbl>
          <w:p>
            <w:pPr>
              <w:widowControl/>
              <w:adjustRightInd w:val="0"/>
              <w:snapToGrid w:val="0"/>
              <w:spacing w:line="240" w:lineRule="auto"/>
              <w:ind w:firstLine="480"/>
              <w:rPr>
                <w:rFonts w:hint="default" w:ascii="Times New Roman" w:hAnsi="Times New Roman" w:cs="Times New Roman"/>
                <w:color w:val="auto"/>
                <w:szCs w:val="20"/>
                <w:highlight w:val="none"/>
              </w:rPr>
            </w:pPr>
          </w:p>
          <w:p>
            <w:pPr>
              <w:pStyle w:val="5"/>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项目厂界噪声现状</w:t>
            </w:r>
            <w:r>
              <w:rPr>
                <w:rFonts w:hint="default" w:ascii="Times New Roman" w:hAnsi="Times New Roman" w:cs="Times New Roman"/>
                <w:color w:val="auto"/>
                <w:highlight w:val="none"/>
                <w:lang w:val="en-US" w:eastAsia="zh-CN"/>
              </w:rPr>
              <w:t>监测值</w:t>
            </w:r>
            <w:r>
              <w:rPr>
                <w:rFonts w:hint="default" w:ascii="Times New Roman" w:hAnsi="Times New Roman" w:eastAsia="宋体" w:cs="Times New Roman"/>
                <w:color w:val="auto"/>
                <w:highlight w:val="none"/>
              </w:rPr>
              <w:t>可达到</w:t>
            </w:r>
            <w:r>
              <w:rPr>
                <w:rFonts w:hint="default" w:ascii="Times New Roman" w:hAnsi="Times New Roman" w:cs="Times New Roman"/>
                <w:color w:val="auto"/>
                <w:highlight w:val="none"/>
                <w:lang w:val="en-US" w:eastAsia="zh-CN"/>
              </w:rPr>
              <w:t>《声环境质量标准》（GB3096-2008）</w:t>
            </w:r>
            <w:r>
              <w:rPr>
                <w:rFonts w:hint="default" w:ascii="Times New Roman" w:hAnsi="Times New Roman" w:eastAsia="宋体" w:cs="Times New Roman"/>
                <w:color w:val="auto"/>
                <w:highlight w:val="none"/>
              </w:rPr>
              <w:t>中的3类标准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海天广场噪声现状监测值可达到《声环境质量标准》（GB3096-2008）中2类标准</w:t>
            </w:r>
            <w:r>
              <w:rPr>
                <w:rFonts w:hint="default" w:ascii="Times New Roman" w:hAnsi="Times New Roman" w:eastAsia="宋体" w:cs="Times New Roman"/>
                <w:color w:val="auto"/>
                <w:highlight w:val="none"/>
              </w:rPr>
              <w:t>。</w:t>
            </w:r>
          </w:p>
          <w:p>
            <w:pPr>
              <w:pStyle w:val="2"/>
              <w:numPr>
                <w:ilvl w:val="1"/>
                <w:numId w:val="4"/>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生态环境</w:t>
            </w:r>
          </w:p>
          <w:p>
            <w:pPr>
              <w:pStyle w:val="5"/>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本</w:t>
            </w:r>
            <w:r>
              <w:rPr>
                <w:rFonts w:hint="default" w:ascii="Times New Roman" w:hAnsi="Times New Roman" w:cs="Times New Roman"/>
                <w:color w:val="auto"/>
                <w:highlight w:val="none"/>
                <w:lang w:val="en-US" w:eastAsia="zh-CN"/>
              </w:rPr>
              <w:t>工程</w:t>
            </w:r>
            <w:r>
              <w:rPr>
                <w:rFonts w:hint="default" w:ascii="Times New Roman" w:hAnsi="Times New Roman" w:eastAsia="宋体" w:cs="Times New Roman"/>
                <w:color w:val="auto"/>
                <w:highlight w:val="none"/>
              </w:rPr>
              <w:t>在现有</w:t>
            </w:r>
            <w:r>
              <w:rPr>
                <w:rFonts w:hint="default" w:ascii="Times New Roman" w:hAnsi="Times New Roman" w:eastAsia="宋体" w:cs="Times New Roman"/>
                <w:color w:val="auto"/>
                <w:highlight w:val="none"/>
                <w:lang w:val="en-US" w:eastAsia="zh-CN"/>
              </w:rPr>
              <w:t>厂区</w:t>
            </w:r>
            <w:r>
              <w:rPr>
                <w:rFonts w:hint="default" w:ascii="Times New Roman" w:hAnsi="Times New Roman" w:eastAsia="宋体" w:cs="Times New Roman"/>
                <w:color w:val="auto"/>
                <w:highlight w:val="none"/>
              </w:rPr>
              <w:t>内进行</w:t>
            </w:r>
            <w:r>
              <w:rPr>
                <w:rFonts w:hint="default" w:ascii="Times New Roman" w:hAnsi="Times New Roman" w:cs="Times New Roman"/>
                <w:color w:val="auto"/>
                <w:highlight w:val="none"/>
                <w:lang w:val="en-US" w:eastAsia="zh-CN"/>
              </w:rPr>
              <w:t>建设</w:t>
            </w:r>
            <w:r>
              <w:rPr>
                <w:rFonts w:hint="default" w:ascii="Times New Roman" w:hAnsi="Times New Roman" w:eastAsia="宋体" w:cs="Times New Roman"/>
                <w:color w:val="auto"/>
                <w:highlight w:val="none"/>
              </w:rPr>
              <w:t>，不新增</w:t>
            </w:r>
            <w:r>
              <w:rPr>
                <w:rFonts w:hint="default" w:ascii="Times New Roman" w:hAnsi="Times New Roman" w:cs="Times New Roman"/>
                <w:color w:val="auto"/>
                <w:highlight w:val="none"/>
              </w:rPr>
              <w:t>用地，根据《建设项目环境影响报告表编制技术指南（污染影响类）》（试行），无需</w:t>
            </w:r>
            <w:r>
              <w:rPr>
                <w:rFonts w:hint="default" w:ascii="Times New Roman" w:hAnsi="Times New Roman" w:cs="Times New Roman"/>
                <w:color w:val="auto"/>
                <w:highlight w:val="none"/>
                <w:lang w:eastAsia="zh-CN"/>
              </w:rPr>
              <w:t>进行</w:t>
            </w:r>
            <w:r>
              <w:rPr>
                <w:rFonts w:hint="default" w:ascii="Times New Roman" w:hAnsi="Times New Roman" w:cs="Times New Roman"/>
                <w:color w:val="auto"/>
                <w:highlight w:val="none"/>
              </w:rPr>
              <w:t>生态环境现状调查。</w:t>
            </w:r>
          </w:p>
          <w:p>
            <w:pPr>
              <w:pStyle w:val="2"/>
              <w:numPr>
                <w:ilvl w:val="1"/>
                <w:numId w:val="4"/>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地下水、土壤环境</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影响报告表编制技术指南（污染影响类）》（试行）中表明：“原则上不开展环境质量现状调查。建设项目存在土壤、地下水环境污染途径的，应结合污染源、保护目标分布情况开展现状调查以留作背景值。”根据现场勘查，本项目位于福鼎市文渡工业园区，周边以工业企业为主，不存在地下水、土壤环境敏感目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val="en-US" w:eastAsia="zh-CN"/>
              </w:rPr>
              <w:t>设备冷凝水回用于喷淋塔，</w:t>
            </w:r>
            <w:r>
              <w:rPr>
                <w:rFonts w:hint="default" w:ascii="Times New Roman" w:hAnsi="Times New Roman" w:cs="Times New Roman"/>
                <w:color w:val="auto"/>
                <w:highlight w:val="none"/>
              </w:rPr>
              <w:t>不外排；</w:t>
            </w:r>
            <w:r>
              <w:rPr>
                <w:rFonts w:hint="default" w:ascii="Times New Roman" w:hAnsi="Times New Roman" w:cs="Times New Roman"/>
                <w:color w:val="auto"/>
                <w:highlight w:val="none"/>
                <w:lang w:val="en-US" w:eastAsia="zh-CN"/>
              </w:rPr>
              <w:t>厂区</w:t>
            </w:r>
            <w:r>
              <w:rPr>
                <w:rFonts w:hint="default" w:ascii="Times New Roman" w:hAnsi="Times New Roman" w:cs="Times New Roman"/>
                <w:color w:val="auto"/>
                <w:highlight w:val="none"/>
              </w:rPr>
              <w:t>地面</w:t>
            </w:r>
            <w:r>
              <w:rPr>
                <w:rFonts w:hint="default" w:ascii="Times New Roman" w:hAnsi="Times New Roman" w:cs="Times New Roman"/>
                <w:color w:val="auto"/>
                <w:highlight w:val="none"/>
                <w:lang w:val="en-US" w:eastAsia="zh-CN"/>
              </w:rPr>
              <w:t>已进行硬化防渗，</w:t>
            </w:r>
            <w:r>
              <w:rPr>
                <w:rFonts w:hint="default" w:ascii="Times New Roman" w:hAnsi="Times New Roman" w:cs="Times New Roman"/>
                <w:color w:val="auto"/>
                <w:highlight w:val="none"/>
              </w:rPr>
              <w:t>大气沉降对厂区土壤影响较小</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且在正常情况下项目存在地面漫流及垂直入渗途径污染地下水及土壤环境</w:t>
            </w:r>
            <w:r>
              <w:rPr>
                <w:rFonts w:hint="default" w:ascii="Times New Roman" w:hAnsi="Times New Roman" w:cs="Times New Roman"/>
                <w:color w:val="auto"/>
                <w:highlight w:val="none"/>
              </w:rPr>
              <w:t>；因此运营期基本不存在土壤、地下水环境污染途径，因此，本评价不开展地下水、土壤环境质量现状调查。</w:t>
            </w:r>
          </w:p>
        </w:tc>
      </w:tr>
    </w:tbl>
    <w:p>
      <w:pPr>
        <w:rPr>
          <w:rFonts w:hint="default" w:ascii="Times New Roman" w:hAnsi="Times New Roman" w:cs="Times New Roman"/>
          <w:color w:val="auto"/>
          <w:highlight w:val="none"/>
        </w:rPr>
        <w:sectPr>
          <w:pgSz w:w="11905" w:h="16838"/>
          <w:pgMar w:top="1417" w:right="1417" w:bottom="1417" w:left="1417" w:header="851" w:footer="1077" w:gutter="0"/>
          <w:pgBorders>
            <w:top w:val="none" w:sz="0" w:space="0"/>
            <w:left w:val="none" w:sz="0" w:space="0"/>
            <w:bottom w:val="none" w:sz="0" w:space="0"/>
            <w:right w:val="none" w:sz="0" w:space="0"/>
          </w:pgBorders>
          <w:pgNumType w:fmt="numberInDash"/>
          <w:cols w:space="0" w:num="1"/>
          <w:docGrid w:linePitch="312" w:charSpace="0"/>
        </w:sectPr>
      </w:pPr>
    </w:p>
    <w:tbl>
      <w:tblPr>
        <w:tblStyle w:val="11"/>
        <w:tblW w:w="928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5"/>
        <w:gridCol w:w="84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25" w:type="dxa"/>
            <w:vAlign w:val="center"/>
          </w:tcPr>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保护</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目标</w:t>
            </w:r>
          </w:p>
        </w:tc>
        <w:tc>
          <w:tcPr>
            <w:tcW w:w="8460" w:type="dxa"/>
            <w:vAlign w:val="center"/>
          </w:tcPr>
          <w:p>
            <w:pPr>
              <w:pStyle w:val="2"/>
              <w:numPr>
                <w:ilvl w:val="1"/>
                <w:numId w:val="7"/>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声环境</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本项目大气环境保护目标</w:t>
            </w:r>
            <w:r>
              <w:rPr>
                <w:rFonts w:hint="default" w:ascii="Times New Roman" w:hAnsi="Times New Roman" w:cs="Times New Roman"/>
                <w:color w:val="auto"/>
                <w:highlight w:val="none"/>
                <w:lang w:val="en-US" w:eastAsia="zh-CN"/>
              </w:rPr>
              <w:t>和声环境保护目标</w:t>
            </w:r>
            <w:r>
              <w:rPr>
                <w:rFonts w:hint="default" w:ascii="Times New Roman" w:hAnsi="Times New Roman" w:cs="Times New Roman"/>
                <w:color w:val="auto"/>
                <w:highlight w:val="none"/>
              </w:rPr>
              <w:t>为</w:t>
            </w:r>
            <w:r>
              <w:rPr>
                <w:rFonts w:hint="default" w:ascii="Times New Roman" w:hAnsi="Times New Roman" w:cs="Times New Roman"/>
                <w:color w:val="auto"/>
                <w:highlight w:val="none"/>
                <w:lang w:val="en-US" w:eastAsia="zh-CN"/>
              </w:rPr>
              <w:t>厂界东北侧44</w:t>
            </w:r>
            <w:r>
              <w:rPr>
                <w:rFonts w:hint="default" w:ascii="Times New Roman" w:hAnsi="Times New Roman" w:cs="Times New Roman"/>
                <w:color w:val="auto"/>
                <w:highlight w:val="none"/>
              </w:rPr>
              <w:t>m处的</w:t>
            </w:r>
            <w:r>
              <w:rPr>
                <w:rFonts w:hint="default" w:ascii="Times New Roman" w:hAnsi="Times New Roman" w:cs="Times New Roman"/>
                <w:color w:val="auto"/>
                <w:highlight w:val="none"/>
                <w:lang w:val="en-US" w:eastAsia="zh-CN"/>
              </w:rPr>
              <w:t>海天广场</w:t>
            </w:r>
            <w:r>
              <w:rPr>
                <w:rFonts w:hint="default" w:ascii="Times New Roman" w:hAnsi="Times New Roman" w:cs="Times New Roman"/>
                <w:color w:val="auto"/>
                <w:highlight w:val="none"/>
              </w:rPr>
              <w:t>。保护目标情况如下表所示，保护目标图详见附图2。</w:t>
            </w:r>
          </w:p>
          <w:p>
            <w:pPr>
              <w:pStyle w:val="15"/>
              <w:numPr>
                <w:ilvl w:val="7"/>
                <w:numId w:val="7"/>
              </w:numPr>
              <w:rPr>
                <w:rFonts w:hint="default" w:ascii="Times New Roman" w:hAnsi="Times New Roman" w:cs="Times New Roman"/>
                <w:color w:val="auto"/>
                <w:highlight w:val="none"/>
              </w:rPr>
            </w:pPr>
            <w:r>
              <w:rPr>
                <w:rFonts w:hint="default" w:ascii="Times New Roman" w:hAnsi="Times New Roman" w:cs="Times New Roman"/>
                <w:color w:val="auto"/>
                <w:highlight w:val="none"/>
              </w:rPr>
              <w:t>环境保护目标与建设项目距离和方位</w:t>
            </w:r>
          </w:p>
          <w:tbl>
            <w:tblPr>
              <w:tblStyle w:val="11"/>
              <w:tblW w:w="8241" w:type="dxa"/>
              <w:jc w:val="center"/>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569"/>
              <w:gridCol w:w="506"/>
              <w:gridCol w:w="1072"/>
              <w:gridCol w:w="1014"/>
              <w:gridCol w:w="521"/>
              <w:gridCol w:w="633"/>
              <w:gridCol w:w="2046"/>
              <w:gridCol w:w="745"/>
              <w:gridCol w:w="1135"/>
            </w:tblGrid>
            <w:tr>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69" w:type="dxa"/>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环境要素</w:t>
                  </w:r>
                </w:p>
              </w:tc>
              <w:tc>
                <w:tcPr>
                  <w:tcW w:w="506" w:type="dxa"/>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名称</w:t>
                  </w:r>
                </w:p>
              </w:tc>
              <w:tc>
                <w:tcPr>
                  <w:tcW w:w="2086" w:type="dxa"/>
                  <w:gridSpan w:val="2"/>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坐标</w:t>
                  </w:r>
                </w:p>
              </w:tc>
              <w:tc>
                <w:tcPr>
                  <w:tcW w:w="521" w:type="dxa"/>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保护对象</w:t>
                  </w:r>
                </w:p>
              </w:tc>
              <w:tc>
                <w:tcPr>
                  <w:tcW w:w="633" w:type="dxa"/>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保护内容</w:t>
                  </w:r>
                </w:p>
              </w:tc>
              <w:tc>
                <w:tcPr>
                  <w:tcW w:w="2046" w:type="dxa"/>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环境功能区</w:t>
                  </w:r>
                </w:p>
              </w:tc>
              <w:tc>
                <w:tcPr>
                  <w:tcW w:w="745" w:type="dxa"/>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相对厂址方位</w:t>
                  </w:r>
                </w:p>
              </w:tc>
              <w:tc>
                <w:tcPr>
                  <w:tcW w:w="1135" w:type="dxa"/>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相对厂界最近距离/m</w:t>
                  </w:r>
                </w:p>
              </w:tc>
            </w:tr>
            <w:tr>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69"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506"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072"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E</w:t>
                  </w:r>
                </w:p>
              </w:tc>
              <w:tc>
                <w:tcPr>
                  <w:tcW w:w="1014"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N</w:t>
                  </w:r>
                </w:p>
              </w:tc>
              <w:tc>
                <w:tcPr>
                  <w:tcW w:w="521"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633"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2046"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745"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135" w:type="dxa"/>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569" w:type="dxa"/>
                  <w:tcBorders>
                    <w:tl2br w:val="nil"/>
                    <w:tr2bl w:val="nil"/>
                  </w:tcBorders>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大气环境</w:t>
                  </w:r>
                </w:p>
              </w:tc>
              <w:tc>
                <w:tcPr>
                  <w:tcW w:w="506" w:type="dxa"/>
                  <w:vMerge w:val="restart"/>
                  <w:tcBorders>
                    <w:tl2br w:val="nil"/>
                    <w:tr2bl w:val="nil"/>
                  </w:tcBorders>
                  <w:vAlign w:val="center"/>
                </w:tcPr>
                <w:p>
                  <w:pPr>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海天广场</w:t>
                  </w:r>
                </w:p>
              </w:tc>
              <w:tc>
                <w:tcPr>
                  <w:tcW w:w="1072" w:type="dxa"/>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120.25286</w:t>
                  </w:r>
                  <w:r>
                    <w:rPr>
                      <w:rFonts w:hint="default" w:ascii="Times New Roman" w:hAnsi="Times New Roman" w:cs="Times New Roman"/>
                      <w:color w:val="auto"/>
                      <w:highlight w:val="none"/>
                      <w:lang w:val="en-US" w:eastAsia="zh-CN"/>
                    </w:rPr>
                    <w:t>9</w:t>
                  </w:r>
                </w:p>
              </w:tc>
              <w:tc>
                <w:tcPr>
                  <w:tcW w:w="1014" w:type="dxa"/>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27.066454</w:t>
                  </w:r>
                </w:p>
              </w:tc>
              <w:tc>
                <w:tcPr>
                  <w:tcW w:w="521" w:type="dxa"/>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居民</w:t>
                  </w:r>
                </w:p>
              </w:tc>
              <w:tc>
                <w:tcPr>
                  <w:tcW w:w="633" w:type="dxa"/>
                  <w:vMerge w:val="restart"/>
                  <w:tcBorders>
                    <w:tl2br w:val="nil"/>
                    <w:tr2bl w:val="nil"/>
                  </w:tcBorders>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住宅306套，800人</w:t>
                  </w:r>
                </w:p>
              </w:tc>
              <w:tc>
                <w:tcPr>
                  <w:tcW w:w="2046"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《环境空气质量标准》（GB3095-2012）二级</w:t>
                  </w:r>
                </w:p>
              </w:tc>
              <w:tc>
                <w:tcPr>
                  <w:tcW w:w="745" w:type="dxa"/>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E</w:t>
                  </w:r>
                  <w:r>
                    <w:rPr>
                      <w:rFonts w:hint="default" w:ascii="Times New Roman" w:hAnsi="Times New Roman" w:cs="Times New Roman"/>
                      <w:color w:val="auto"/>
                      <w:highlight w:val="none"/>
                    </w:rPr>
                    <w:t>N</w:t>
                  </w:r>
                </w:p>
              </w:tc>
              <w:tc>
                <w:tcPr>
                  <w:tcW w:w="1135" w:type="dxa"/>
                  <w:vMerge w:val="restart"/>
                  <w:tcBorders>
                    <w:tl2br w:val="nil"/>
                    <w:tr2bl w:val="nil"/>
                  </w:tcBorders>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44</w:t>
                  </w:r>
                </w:p>
              </w:tc>
            </w:tr>
            <w:tr>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569"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声环境</w:t>
                  </w:r>
                </w:p>
              </w:tc>
              <w:tc>
                <w:tcPr>
                  <w:tcW w:w="506"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072"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014"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521"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633"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2046"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《声环境质量标准》（GB3096-2008）2类</w:t>
                  </w:r>
                </w:p>
              </w:tc>
              <w:tc>
                <w:tcPr>
                  <w:tcW w:w="745"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135" w:type="dxa"/>
                  <w:vMerge w:val="continue"/>
                  <w:tcBorders>
                    <w:tl2br w:val="nil"/>
                    <w:tr2bl w:val="nil"/>
                  </w:tcBorders>
                  <w:vAlign w:val="center"/>
                </w:tcPr>
                <w:p>
                  <w:pPr>
                    <w:jc w:val="center"/>
                    <w:rPr>
                      <w:rFonts w:hint="default" w:ascii="Times New Roman" w:hAnsi="Times New Roman" w:cs="Times New Roman"/>
                      <w:color w:val="auto"/>
                      <w:highlight w:val="none"/>
                    </w:rPr>
                  </w:pPr>
                </w:p>
              </w:tc>
            </w:tr>
          </w:tbl>
          <w:p>
            <w:pPr>
              <w:pStyle w:val="2"/>
              <w:numPr>
                <w:ilvl w:val="1"/>
                <w:numId w:val="7"/>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厂界外500米范围内无地下水集中式饮用水水源和热水、矿泉水、泉水等特殊地下水资源。</w:t>
            </w:r>
          </w:p>
          <w:p>
            <w:pPr>
              <w:pStyle w:val="2"/>
              <w:numPr>
                <w:ilvl w:val="1"/>
                <w:numId w:val="7"/>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生态环境</w:t>
            </w:r>
          </w:p>
          <w:p>
            <w:pPr>
              <w:pStyle w:val="5"/>
              <w:bidi w:val="0"/>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本项目位于福鼎市文渡工业区，用地性质属于工业用地，在工业园区内，无生态环境保护目标。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25" w:type="dxa"/>
            <w:tcMar>
              <w:left w:w="28" w:type="dxa"/>
              <w:right w:w="28" w:type="dxa"/>
            </w:tcMar>
            <w:vAlign w:val="center"/>
          </w:tcPr>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污染</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物排</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放控</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制标</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准</w:t>
            </w:r>
          </w:p>
        </w:tc>
        <w:tc>
          <w:tcPr>
            <w:tcW w:w="8460" w:type="dxa"/>
            <w:vAlign w:val="center"/>
          </w:tcPr>
          <w:p>
            <w:pPr>
              <w:pStyle w:val="2"/>
              <w:numPr>
                <w:ilvl w:val="1"/>
                <w:numId w:val="8"/>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废气排放标准</w:t>
            </w:r>
          </w:p>
          <w:p>
            <w:pPr>
              <w:pStyle w:val="5"/>
              <w:ind w:firstLine="480"/>
              <w:rPr>
                <w:rFonts w:hint="default" w:ascii="Times New Roman" w:hAnsi="Times New Roman" w:cs="Times New Roman"/>
                <w:color w:val="auto"/>
                <w:highlight w:val="none"/>
              </w:rPr>
            </w:pPr>
            <w:bookmarkStart w:id="12" w:name="_Ref11732"/>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val="en-US" w:eastAsia="zh-CN"/>
              </w:rPr>
              <w:t>为福建瑞峰革业有限公司厂内</w:t>
            </w:r>
            <w:r>
              <w:rPr>
                <w:rFonts w:hint="default" w:ascii="Times New Roman" w:hAnsi="Times New Roman" w:cs="Times New Roman"/>
                <w:color w:val="auto"/>
                <w:highlight w:val="none"/>
              </w:rPr>
              <w:t>PU合成革的生产</w:t>
            </w:r>
            <w:r>
              <w:rPr>
                <w:rFonts w:hint="default" w:ascii="Times New Roman" w:hAnsi="Times New Roman" w:cs="Times New Roman"/>
                <w:color w:val="auto"/>
                <w:highlight w:val="none"/>
                <w:lang w:val="en-US" w:eastAsia="zh-CN"/>
              </w:rPr>
              <w:t>的</w:t>
            </w:r>
            <w:r>
              <w:rPr>
                <w:rFonts w:hint="default" w:ascii="Times New Roman" w:hAnsi="Times New Roman" w:cs="Times New Roman"/>
                <w:color w:val="auto"/>
                <w:highlight w:val="none"/>
              </w:rPr>
              <w:t>配套</w:t>
            </w:r>
            <w:r>
              <w:rPr>
                <w:rFonts w:hint="default" w:ascii="Times New Roman" w:hAnsi="Times New Roman" w:cs="Times New Roman"/>
                <w:color w:val="auto"/>
                <w:highlight w:val="none"/>
                <w:lang w:val="en-US" w:eastAsia="zh-CN"/>
              </w:rPr>
              <w:t>DMF回收项目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DMF、非甲烷总烃</w:t>
            </w:r>
            <w:r>
              <w:rPr>
                <w:rFonts w:hint="default" w:ascii="Times New Roman" w:hAnsi="Times New Roman" w:cs="Times New Roman"/>
                <w:color w:val="auto"/>
                <w:highlight w:val="none"/>
                <w:lang w:eastAsia="zh-CN"/>
              </w:rPr>
              <w:t>有组织</w:t>
            </w:r>
            <w:r>
              <w:rPr>
                <w:rFonts w:hint="default" w:ascii="Times New Roman" w:hAnsi="Times New Roman" w:cs="Times New Roman"/>
                <w:color w:val="auto"/>
                <w:highlight w:val="none"/>
              </w:rPr>
              <w:t>参照执行福建省地方标准《工业企业挥发性有机物排放标准》(DB35/1782-2018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中合成革与人造革制造行业标准</w:t>
            </w:r>
            <w:r>
              <w:rPr>
                <w:rFonts w:hint="default" w:ascii="Times New Roman" w:hAnsi="Times New Roman" w:cs="Times New Roman"/>
                <w:color w:val="auto"/>
                <w:highlight w:val="none"/>
                <w:lang w:eastAsia="zh-CN"/>
              </w:rPr>
              <w:t>，无组织执行</w:t>
            </w:r>
            <w:r>
              <w:rPr>
                <w:rFonts w:hint="default" w:ascii="Times New Roman" w:hAnsi="Times New Roman" w:cs="Times New Roman"/>
                <w:color w:val="auto"/>
                <w:highlight w:val="none"/>
              </w:rPr>
              <w:t>《工业企业挥发性有机物排放标准》(DB35/1782-2018)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臭气浓度执行</w:t>
            </w:r>
            <w:r>
              <w:rPr>
                <w:rFonts w:hint="default" w:ascii="Times New Roman" w:hAnsi="Times New Roman" w:cs="Times New Roman"/>
                <w:bCs/>
                <w:color w:val="auto"/>
                <w:highlight w:val="none"/>
              </w:rPr>
              <w:t>《恶臭污染物排放标准》(GB14554-93）中表1、表2限值要求。</w:t>
            </w:r>
          </w:p>
          <w:p>
            <w:pPr>
              <w:pStyle w:val="15"/>
              <w:numPr>
                <w:ilvl w:val="7"/>
                <w:numId w:val="8"/>
              </w:numP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排气筒有组织排放限值  单位：</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rPr>
              <w:t>3</w:t>
            </w:r>
          </w:p>
          <w:tbl>
            <w:tblPr>
              <w:tblStyle w:val="11"/>
              <w:tblW w:w="8241"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1160"/>
              <w:gridCol w:w="685"/>
              <w:gridCol w:w="1550"/>
              <w:gridCol w:w="1073"/>
              <w:gridCol w:w="221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4" w:type="dxa"/>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污染物项目</w:t>
                  </w:r>
                </w:p>
              </w:tc>
              <w:tc>
                <w:tcPr>
                  <w:tcW w:w="1160" w:type="dxa"/>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最高允许排放浓度</w:t>
                  </w:r>
                </w:p>
              </w:tc>
              <w:tc>
                <w:tcPr>
                  <w:tcW w:w="3308" w:type="dxa"/>
                  <w:gridSpan w:val="3"/>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最高允许排放速率  （kg/h）</w:t>
                  </w:r>
                </w:p>
              </w:tc>
              <w:tc>
                <w:tcPr>
                  <w:tcW w:w="2219"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标准来源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4"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160"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685" w:type="dxa"/>
                  <w:tcBorders>
                    <w:tl2br w:val="nil"/>
                    <w:tr2bl w:val="nil"/>
                  </w:tcBorders>
                  <w:vAlign w:val="center"/>
                </w:tcPr>
                <w:p>
                  <w:pPr>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15m</w:t>
                  </w:r>
                </w:p>
              </w:tc>
              <w:tc>
                <w:tcPr>
                  <w:tcW w:w="1550" w:type="dxa"/>
                  <w:tcBorders>
                    <w:tl2br w:val="nil"/>
                    <w:tr2bl w:val="nil"/>
                  </w:tcBorders>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17m（本项目）</w:t>
                  </w:r>
                </w:p>
              </w:tc>
              <w:tc>
                <w:tcPr>
                  <w:tcW w:w="1073" w:type="dxa"/>
                  <w:tcBorders>
                    <w:tl2br w:val="nil"/>
                    <w:tr2bl w:val="nil"/>
                  </w:tcBorders>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25m</w:t>
                  </w:r>
                </w:p>
              </w:tc>
              <w:tc>
                <w:tcPr>
                  <w:tcW w:w="2219" w:type="dxa"/>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《工业企业挥发性有机物排放标准》(DB35/1782-2018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中合成革与人造革制造</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4" w:type="dxa"/>
                  <w:tcBorders>
                    <w:tl2br w:val="nil"/>
                    <w:tr2bl w:val="nil"/>
                  </w:tcBorders>
                  <w:vAlign w:val="center"/>
                </w:tcPr>
                <w:p>
                  <w:pPr>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二甲基甲酰胺</w:t>
                  </w:r>
                </w:p>
              </w:tc>
              <w:tc>
                <w:tcPr>
                  <w:tcW w:w="1160" w:type="dxa"/>
                  <w:tcBorders>
                    <w:tl2br w:val="nil"/>
                    <w:tr2bl w:val="nil"/>
                  </w:tcBorders>
                  <w:vAlign w:val="center"/>
                </w:tcPr>
                <w:p>
                  <w:pPr>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30</w:t>
                  </w:r>
                </w:p>
              </w:tc>
              <w:tc>
                <w:tcPr>
                  <w:tcW w:w="685" w:type="dxa"/>
                  <w:tcBorders>
                    <w:tl2br w:val="nil"/>
                    <w:tr2bl w:val="nil"/>
                  </w:tcBorders>
                  <w:vAlign w:val="center"/>
                </w:tcPr>
                <w:p>
                  <w:pPr>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w:t>
                  </w:r>
                </w:p>
              </w:tc>
              <w:tc>
                <w:tcPr>
                  <w:tcW w:w="1550" w:type="dxa"/>
                  <w:tcBorders>
                    <w:tl2br w:val="nil"/>
                    <w:tr2bl w:val="nil"/>
                  </w:tcBorders>
                  <w:vAlign w:val="center"/>
                </w:tcPr>
                <w:p>
                  <w:pPr>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w:t>
                  </w:r>
                </w:p>
              </w:tc>
              <w:tc>
                <w:tcPr>
                  <w:tcW w:w="1073" w:type="dxa"/>
                  <w:tcBorders>
                    <w:tl2br w:val="nil"/>
                    <w:tr2bl w:val="nil"/>
                  </w:tcBorders>
                  <w:vAlign w:val="center"/>
                </w:tcPr>
                <w:p>
                  <w:pPr>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w:t>
                  </w:r>
                </w:p>
              </w:tc>
              <w:tc>
                <w:tcPr>
                  <w:tcW w:w="2219" w:type="dxa"/>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4" w:type="dxa"/>
                  <w:tcBorders>
                    <w:tl2br w:val="nil"/>
                    <w:tr2bl w:val="nil"/>
                  </w:tcBorders>
                  <w:vAlign w:val="center"/>
                </w:tcPr>
                <w:p>
                  <w:pPr>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非甲烷总烃</w:t>
                  </w:r>
                </w:p>
              </w:tc>
              <w:tc>
                <w:tcPr>
                  <w:tcW w:w="1160" w:type="dxa"/>
                  <w:tcBorders>
                    <w:tl2br w:val="nil"/>
                    <w:tr2bl w:val="nil"/>
                  </w:tcBorders>
                  <w:vAlign w:val="center"/>
                </w:tcPr>
                <w:p>
                  <w:pPr>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100</w:t>
                  </w:r>
                </w:p>
              </w:tc>
              <w:tc>
                <w:tcPr>
                  <w:tcW w:w="685" w:type="dxa"/>
                  <w:tcBorders>
                    <w:tl2br w:val="nil"/>
                    <w:tr2bl w:val="nil"/>
                  </w:tcBorders>
                  <w:vAlign w:val="center"/>
                </w:tcPr>
                <w:p>
                  <w:pPr>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1.8</w:t>
                  </w:r>
                </w:p>
              </w:tc>
              <w:tc>
                <w:tcPr>
                  <w:tcW w:w="1550" w:type="dxa"/>
                  <w:tcBorders>
                    <w:tl2br w:val="nil"/>
                    <w:tr2bl w:val="nil"/>
                  </w:tcBorders>
                  <w:vAlign w:val="center"/>
                </w:tcPr>
                <w:p>
                  <w:pPr>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2.76</w:t>
                  </w:r>
                </w:p>
              </w:tc>
              <w:tc>
                <w:tcPr>
                  <w:tcW w:w="1073" w:type="dxa"/>
                  <w:tcBorders>
                    <w:tl2br w:val="nil"/>
                    <w:tr2bl w:val="nil"/>
                  </w:tcBorders>
                  <w:vAlign w:val="center"/>
                </w:tcPr>
                <w:p>
                  <w:pPr>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6.6</w:t>
                  </w:r>
                </w:p>
              </w:tc>
              <w:tc>
                <w:tcPr>
                  <w:tcW w:w="2219" w:type="dxa"/>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4" w:type="dxa"/>
                  <w:tcBorders>
                    <w:tl2br w:val="nil"/>
                    <w:tr2bl w:val="nil"/>
                  </w:tcBorders>
                  <w:vAlign w:val="center"/>
                </w:tcPr>
                <w:p>
                  <w:pPr>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臭气浓度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无量纲</w:t>
                  </w:r>
                  <w:r>
                    <w:rPr>
                      <w:rFonts w:hint="default" w:ascii="Times New Roman" w:hAnsi="Times New Roman" w:cs="Times New Roman"/>
                      <w:color w:val="auto"/>
                      <w:highlight w:val="none"/>
                      <w:lang w:eastAsia="zh-CN"/>
                    </w:rPr>
                    <w:t>）</w:t>
                  </w:r>
                </w:p>
              </w:tc>
              <w:tc>
                <w:tcPr>
                  <w:tcW w:w="1160"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685"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2000</w:t>
                  </w:r>
                </w:p>
              </w:tc>
              <w:tc>
                <w:tcPr>
                  <w:tcW w:w="1550" w:type="dxa"/>
                  <w:tcBorders>
                    <w:tl2br w:val="nil"/>
                    <w:tr2bl w:val="nil"/>
                  </w:tcBorders>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2000</w:t>
                  </w:r>
                </w:p>
              </w:tc>
              <w:tc>
                <w:tcPr>
                  <w:tcW w:w="1073" w:type="dxa"/>
                  <w:tcBorders>
                    <w:tl2br w:val="nil"/>
                    <w:tr2bl w:val="nil"/>
                  </w:tcBorders>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6000</w:t>
                  </w:r>
                </w:p>
              </w:tc>
              <w:tc>
                <w:tcPr>
                  <w:tcW w:w="2219"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《恶臭污染物排放标准》(GB14554-93）</w:t>
                  </w:r>
                </w:p>
              </w:tc>
            </w:tr>
          </w:tbl>
          <w:p>
            <w:pPr>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
              <w:rPr>
                <w:rFonts w:hint="default" w:ascii="Times New Roman" w:hAnsi="Times New Roman" w:cs="Times New Roman"/>
                <w:color w:val="auto"/>
                <w:highlight w:val="none"/>
              </w:rPr>
            </w:pPr>
          </w:p>
          <w:p>
            <w:pPr>
              <w:pStyle w:val="15"/>
              <w:numPr>
                <w:ilvl w:val="7"/>
                <w:numId w:val="8"/>
              </w:numP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厂内监控点浓度限值    单位：</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 xml:space="preserve">  </w:t>
            </w:r>
          </w:p>
          <w:tbl>
            <w:tblPr>
              <w:tblStyle w:val="11"/>
              <w:tblW w:w="8241" w:type="dxa"/>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54"/>
              <w:gridCol w:w="1555"/>
              <w:gridCol w:w="2399"/>
              <w:gridCol w:w="2933"/>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54" w:type="dxa"/>
                  <w:tcBorders>
                    <w:tl2br w:val="nil"/>
                    <w:tr2bl w:val="nil"/>
                  </w:tcBorders>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污染物项目</w:t>
                  </w:r>
                </w:p>
              </w:tc>
              <w:tc>
                <w:tcPr>
                  <w:tcW w:w="1555" w:type="dxa"/>
                  <w:tcBorders>
                    <w:tl2br w:val="nil"/>
                    <w:tr2bl w:val="nil"/>
                  </w:tcBorders>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排放浓度限值</w:t>
                  </w:r>
                </w:p>
              </w:tc>
              <w:tc>
                <w:tcPr>
                  <w:tcW w:w="2399" w:type="dxa"/>
                  <w:tcBorders>
                    <w:tl2br w:val="nil"/>
                    <w:tr2bl w:val="nil"/>
                  </w:tcBorders>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适用范围</w:t>
                  </w:r>
                </w:p>
              </w:tc>
              <w:tc>
                <w:tcPr>
                  <w:tcW w:w="2933" w:type="dxa"/>
                  <w:tcBorders>
                    <w:tl2br w:val="nil"/>
                    <w:tr2bl w:val="nil"/>
                  </w:tcBorders>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备注</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54" w:type="dxa"/>
                  <w:vMerge w:val="restart"/>
                  <w:tcBorders>
                    <w:tl2br w:val="nil"/>
                    <w:tr2bl w:val="nil"/>
                  </w:tcBorders>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非甲烷总烃</w:t>
                  </w:r>
                </w:p>
              </w:tc>
              <w:tc>
                <w:tcPr>
                  <w:tcW w:w="1555" w:type="dxa"/>
                  <w:tcBorders>
                    <w:tl2br w:val="nil"/>
                    <w:tr2bl w:val="nil"/>
                  </w:tcBorders>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8.0</w:t>
                  </w:r>
                </w:p>
              </w:tc>
              <w:tc>
                <w:tcPr>
                  <w:tcW w:w="2399" w:type="dxa"/>
                  <w:tcBorders>
                    <w:tl2br w:val="nil"/>
                    <w:tr2bl w:val="nil"/>
                  </w:tcBorders>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所有行业</w:t>
                  </w:r>
                </w:p>
              </w:tc>
              <w:tc>
                <w:tcPr>
                  <w:tcW w:w="2933" w:type="dxa"/>
                  <w:tcBorders>
                    <w:tl2br w:val="nil"/>
                    <w:tr2bl w:val="nil"/>
                  </w:tcBorders>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《工业企业挥发性有机物排放标准》(DB35/1782-2018)</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54" w:type="dxa"/>
                  <w:vMerge w:val="continue"/>
                  <w:tcBorders>
                    <w:tl2br w:val="nil"/>
                    <w:tr2bl w:val="nil"/>
                  </w:tcBorders>
                  <w:vAlign w:val="center"/>
                </w:tcPr>
                <w:p>
                  <w:pPr>
                    <w:jc w:val="center"/>
                    <w:rPr>
                      <w:rFonts w:hint="default" w:ascii="Times New Roman" w:hAnsi="Times New Roman" w:eastAsia="宋体" w:cs="Times New Roman"/>
                      <w:color w:val="auto"/>
                      <w:highlight w:val="none"/>
                    </w:rPr>
                  </w:pPr>
                </w:p>
              </w:tc>
              <w:tc>
                <w:tcPr>
                  <w:tcW w:w="1555" w:type="dxa"/>
                  <w:tcBorders>
                    <w:tl2br w:val="nil"/>
                    <w:tr2bl w:val="nil"/>
                  </w:tcBorders>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w:t>
                  </w:r>
                </w:p>
              </w:tc>
              <w:tc>
                <w:tcPr>
                  <w:tcW w:w="2399" w:type="dxa"/>
                  <w:tcBorders>
                    <w:tl2br w:val="nil"/>
                    <w:tr2bl w:val="nil"/>
                  </w:tcBorders>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监控点任意</w:t>
                  </w:r>
                  <w:r>
                    <w:rPr>
                      <w:rFonts w:hint="default" w:ascii="Times New Roman" w:hAnsi="Times New Roman" w:eastAsia="宋体" w:cs="Times New Roman"/>
                      <w:color w:val="auto"/>
                      <w:highlight w:val="none"/>
                      <w:lang w:val="en-US" w:eastAsia="zh-CN"/>
                    </w:rPr>
                    <w:t>一</w:t>
                  </w:r>
                  <w:r>
                    <w:rPr>
                      <w:rFonts w:hint="default" w:ascii="Times New Roman" w:hAnsi="Times New Roman" w:eastAsia="宋体" w:cs="Times New Roman"/>
                      <w:color w:val="auto"/>
                      <w:highlight w:val="none"/>
                    </w:rPr>
                    <w:t>次浓度值</w:t>
                  </w:r>
                </w:p>
              </w:tc>
              <w:tc>
                <w:tcPr>
                  <w:tcW w:w="2933" w:type="dxa"/>
                  <w:tcBorders>
                    <w:tl2br w:val="nil"/>
                    <w:tr2bl w:val="nil"/>
                  </w:tcBorders>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《挥发性有机物无组织排放控制标准》(GB37822-2019)</w:t>
                  </w:r>
                </w:p>
              </w:tc>
            </w:tr>
          </w:tbl>
          <w:p>
            <w:pPr>
              <w:rPr>
                <w:rFonts w:hint="default" w:ascii="Times New Roman" w:hAnsi="Times New Roman" w:cs="Times New Roman"/>
                <w:color w:val="auto"/>
                <w:highlight w:val="none"/>
              </w:rPr>
            </w:pPr>
          </w:p>
          <w:p>
            <w:pPr>
              <w:pStyle w:val="15"/>
              <w:numPr>
                <w:ilvl w:val="7"/>
                <w:numId w:val="8"/>
              </w:numP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企业边界监控点浓度限值    单位：</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rPr>
              <w:t>3</w:t>
            </w:r>
          </w:p>
          <w:tbl>
            <w:tblPr>
              <w:tblStyle w:val="11"/>
              <w:tblW w:w="8241" w:type="dxa"/>
              <w:jc w:val="center"/>
              <w:tblBorders>
                <w:top w:val="single" w:color="auto" w:sz="8" w:space="0"/>
                <w:left w:val="none" w:color="auto" w:sz="0" w:space="0"/>
                <w:bottom w:val="single" w:color="auto" w:sz="8"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711"/>
              <w:gridCol w:w="1938"/>
              <w:gridCol w:w="712"/>
              <w:gridCol w:w="4880"/>
            </w:tblGrid>
            <w:tr>
              <w:tblPrEx>
                <w:tblBorders>
                  <w:top w:val="single" w:color="auto" w:sz="8" w:space="0"/>
                  <w:left w:val="none" w:color="auto" w:sz="0" w:space="0"/>
                  <w:bottom w:val="single" w:color="auto" w:sz="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711"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1938"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污染物项目</w:t>
                  </w:r>
                </w:p>
              </w:tc>
              <w:tc>
                <w:tcPr>
                  <w:tcW w:w="712"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限值</w:t>
                  </w:r>
                </w:p>
              </w:tc>
              <w:tc>
                <w:tcPr>
                  <w:tcW w:w="4880"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711"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938" w:type="dxa"/>
                  <w:tcBorders>
                    <w:tl2br w:val="nil"/>
                    <w:tr2bl w:val="nil"/>
                  </w:tcBorders>
                  <w:vAlign w:val="center"/>
                </w:tcPr>
                <w:p>
                  <w:pPr>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DMF</w:t>
                  </w:r>
                </w:p>
              </w:tc>
              <w:tc>
                <w:tcPr>
                  <w:tcW w:w="712" w:type="dxa"/>
                  <w:tcBorders>
                    <w:tl2br w:val="nil"/>
                    <w:tr2bl w:val="nil"/>
                  </w:tcBorders>
                  <w:vAlign w:val="center"/>
                </w:tcPr>
                <w:p>
                  <w:pPr>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0.4</w:t>
                  </w:r>
                </w:p>
              </w:tc>
              <w:tc>
                <w:tcPr>
                  <w:tcW w:w="4880" w:type="dxa"/>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《工业企业挥发性有机物排放标准》(DB35/1782-2018)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711"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1938" w:type="dxa"/>
                  <w:tcBorders>
                    <w:tl2br w:val="nil"/>
                    <w:tr2bl w:val="nil"/>
                  </w:tcBorders>
                  <w:vAlign w:val="center"/>
                </w:tcPr>
                <w:p>
                  <w:pPr>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非甲烷总烃</w:t>
                  </w:r>
                </w:p>
              </w:tc>
              <w:tc>
                <w:tcPr>
                  <w:tcW w:w="712" w:type="dxa"/>
                  <w:tcBorders>
                    <w:tl2br w:val="nil"/>
                    <w:tr2bl w:val="nil"/>
                  </w:tcBorders>
                  <w:vAlign w:val="center"/>
                </w:tcPr>
                <w:p>
                  <w:pPr>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2.0</w:t>
                  </w:r>
                </w:p>
              </w:tc>
              <w:tc>
                <w:tcPr>
                  <w:tcW w:w="4880" w:type="dxa"/>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711" w:type="dxa"/>
                  <w:tcBorders>
                    <w:tl2br w:val="nil"/>
                    <w:tr2bl w:val="nil"/>
                  </w:tcBorders>
                  <w:vAlign w:val="center"/>
                </w:tcPr>
                <w:p>
                  <w:pPr>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3</w:t>
                  </w:r>
                </w:p>
              </w:tc>
              <w:tc>
                <w:tcPr>
                  <w:tcW w:w="1938"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臭气浓度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无量纲</w:t>
                  </w:r>
                  <w:r>
                    <w:rPr>
                      <w:rFonts w:hint="default" w:ascii="Times New Roman" w:hAnsi="Times New Roman" w:cs="Times New Roman"/>
                      <w:color w:val="auto"/>
                      <w:highlight w:val="none"/>
                      <w:lang w:eastAsia="zh-CN"/>
                    </w:rPr>
                    <w:t>）</w:t>
                  </w:r>
                </w:p>
              </w:tc>
              <w:tc>
                <w:tcPr>
                  <w:tcW w:w="712"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c>
                <w:tcPr>
                  <w:tcW w:w="4880"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《恶臭污染物排放标准》(GB14554-93）</w:t>
                  </w:r>
                </w:p>
              </w:tc>
            </w:tr>
          </w:tbl>
          <w:p>
            <w:pPr>
              <w:rPr>
                <w:rFonts w:hint="default" w:ascii="Times New Roman" w:hAnsi="Times New Roman" w:cs="Times New Roman"/>
                <w:color w:val="auto"/>
                <w:highlight w:val="none"/>
              </w:rPr>
            </w:pPr>
          </w:p>
          <w:bookmarkEnd w:id="12"/>
          <w:p>
            <w:pPr>
              <w:pStyle w:val="2"/>
              <w:numPr>
                <w:ilvl w:val="1"/>
                <w:numId w:val="8"/>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废水排放标准</w:t>
            </w:r>
          </w:p>
          <w:p>
            <w:pPr>
              <w:pStyle w:val="5"/>
              <w:ind w:firstLine="480"/>
              <w:rPr>
                <w:rFonts w:hint="default" w:ascii="Times New Roman" w:hAnsi="Times New Roman" w:cs="Times New Roman"/>
                <w:color w:val="auto"/>
                <w:highlight w:val="none"/>
              </w:rPr>
            </w:pPr>
            <w:bookmarkStart w:id="13" w:name="_Ref11232"/>
            <w:r>
              <w:rPr>
                <w:rFonts w:hint="default" w:ascii="Times New Roman" w:hAnsi="Times New Roman" w:cs="Times New Roman"/>
                <w:color w:val="auto"/>
                <w:highlight w:val="none"/>
                <w:lang w:val="en-US" w:eastAsia="zh-CN"/>
              </w:rPr>
              <w:t>本</w:t>
            </w:r>
            <w:r>
              <w:rPr>
                <w:rFonts w:hint="default" w:ascii="Times New Roman" w:hAnsi="Times New Roman" w:cs="Times New Roman"/>
                <w:color w:val="auto"/>
                <w:highlight w:val="none"/>
              </w:rPr>
              <w:t>项目运营期</w:t>
            </w:r>
            <w:r>
              <w:rPr>
                <w:rFonts w:hint="default" w:ascii="Times New Roman" w:hAnsi="Times New Roman" w:cs="Times New Roman"/>
                <w:color w:val="auto"/>
                <w:highlight w:val="none"/>
                <w:lang w:val="en-US" w:eastAsia="zh-CN"/>
              </w:rPr>
              <w:t>产生的冷凝水回用于喷淋塔，不外排</w:t>
            </w:r>
            <w:r>
              <w:rPr>
                <w:rFonts w:hint="default" w:ascii="Times New Roman" w:hAnsi="Times New Roman" w:cs="Times New Roman"/>
                <w:color w:val="auto"/>
                <w:highlight w:val="none"/>
              </w:rPr>
              <w:t>。</w:t>
            </w:r>
          </w:p>
          <w:bookmarkEnd w:id="13"/>
          <w:p>
            <w:pPr>
              <w:pStyle w:val="2"/>
              <w:numPr>
                <w:ilvl w:val="1"/>
                <w:numId w:val="8"/>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噪声排放标准</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本项目厂界噪声执行《工业企业厂界环境噪声排放标准》(GB12348-2008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中的3类标准。</w:t>
            </w:r>
          </w:p>
          <w:p>
            <w:pPr>
              <w:pStyle w:val="15"/>
              <w:numPr>
                <w:ilvl w:val="7"/>
                <w:numId w:val="8"/>
              </w:numPr>
              <w:rPr>
                <w:rFonts w:hint="default" w:ascii="Times New Roman" w:hAnsi="Times New Roman" w:cs="Times New Roman"/>
                <w:color w:val="auto"/>
                <w:highlight w:val="none"/>
              </w:rPr>
            </w:pPr>
            <w:r>
              <w:rPr>
                <w:rFonts w:hint="default" w:ascii="Times New Roman" w:hAnsi="Times New Roman" w:cs="Times New Roman"/>
                <w:color w:val="auto"/>
                <w:highlight w:val="none"/>
              </w:rPr>
              <w:t>《工业企业厂界环境噪声标准值》(GB12348-2008)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摘录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 xml:space="preserve"> 单位：dB(A)</w:t>
            </w:r>
          </w:p>
          <w:tbl>
            <w:tblPr>
              <w:tblStyle w:val="11"/>
              <w:tblW w:w="824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48"/>
              <w:gridCol w:w="2749"/>
              <w:gridCol w:w="274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48" w:type="dxa"/>
                  <w:tcBorders>
                    <w:tl2br w:val="nil"/>
                    <w:tr2bl w:val="nil"/>
                  </w:tcBorders>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类 别</w:t>
                  </w:r>
                </w:p>
              </w:tc>
              <w:tc>
                <w:tcPr>
                  <w:tcW w:w="2749" w:type="dxa"/>
                  <w:tcBorders>
                    <w:tl2br w:val="nil"/>
                    <w:tr2bl w:val="nil"/>
                  </w:tcBorders>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昼 间</w:t>
                  </w:r>
                </w:p>
              </w:tc>
              <w:tc>
                <w:tcPr>
                  <w:tcW w:w="2745" w:type="dxa"/>
                  <w:tcBorders>
                    <w:tl2br w:val="nil"/>
                    <w:tr2bl w:val="nil"/>
                  </w:tcBorders>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夜 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48" w:type="dxa"/>
                  <w:tcBorders>
                    <w:tl2br w:val="nil"/>
                    <w:tr2bl w:val="nil"/>
                  </w:tcBorders>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3类</w:t>
                  </w:r>
                </w:p>
              </w:tc>
              <w:tc>
                <w:tcPr>
                  <w:tcW w:w="2749" w:type="dxa"/>
                  <w:tcBorders>
                    <w:tl2br w:val="nil"/>
                    <w:tr2bl w:val="nil"/>
                  </w:tcBorders>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65</w:t>
                  </w:r>
                </w:p>
              </w:tc>
              <w:tc>
                <w:tcPr>
                  <w:tcW w:w="2745" w:type="dxa"/>
                  <w:tcBorders>
                    <w:tl2br w:val="nil"/>
                    <w:tr2bl w:val="nil"/>
                  </w:tcBorders>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55</w:t>
                  </w:r>
                </w:p>
              </w:tc>
            </w:tr>
          </w:tbl>
          <w:p>
            <w:pPr>
              <w:pStyle w:val="2"/>
              <w:numPr>
                <w:ilvl w:val="1"/>
                <w:numId w:val="0"/>
              </w:numPr>
              <w:tabs>
                <w:tab w:val="left" w:pos="420"/>
              </w:tabs>
              <w:spacing w:line="240" w:lineRule="auto"/>
              <w:ind w:leftChars="0"/>
              <w:rPr>
                <w:rFonts w:hint="default" w:ascii="Times New Roman" w:hAnsi="Times New Roman" w:cs="Times New Roman"/>
                <w:color w:val="auto"/>
                <w:sz w:val="20"/>
                <w:szCs w:val="20"/>
                <w:highlight w:val="none"/>
              </w:rPr>
            </w:pPr>
          </w:p>
          <w:p>
            <w:pPr>
              <w:pStyle w:val="2"/>
              <w:numPr>
                <w:ilvl w:val="1"/>
                <w:numId w:val="8"/>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固体废物执行标准</w:t>
            </w:r>
          </w:p>
          <w:p>
            <w:pPr>
              <w:pStyle w:val="5"/>
              <w:ind w:firstLine="480"/>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一般工业固体废物</w:t>
            </w:r>
            <w:r>
              <w:rPr>
                <w:rFonts w:hint="default" w:ascii="Times New Roman" w:hAnsi="Times New Roman" w:cs="Times New Roman"/>
                <w:color w:val="auto"/>
                <w:highlight w:val="none"/>
                <w:lang w:val="en-US" w:eastAsia="zh-CN"/>
              </w:rPr>
              <w:t>参照</w:t>
            </w:r>
            <w:r>
              <w:rPr>
                <w:rFonts w:hint="default" w:ascii="Times New Roman" w:hAnsi="Times New Roman" w:cs="Times New Roman"/>
                <w:color w:val="auto"/>
                <w:highlight w:val="none"/>
              </w:rPr>
              <w:t>执行《一般工业固体废物贮存和填埋污染控制标准》（GB18599-2020）；危险废物执行《危险废物贮存污染控制标准》(GB18597-2001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及环保部2013年第36号公告修改单的要求。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25" w:type="dxa"/>
            <w:vAlign w:val="center"/>
          </w:tcPr>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总量</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控制</w:t>
            </w:r>
          </w:p>
          <w:p>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指标</w:t>
            </w:r>
          </w:p>
        </w:tc>
        <w:tc>
          <w:tcPr>
            <w:tcW w:w="8460" w:type="dxa"/>
            <w:vAlign w:val="center"/>
          </w:tcPr>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不排放生产废水，根据《福建省“十四五”生态环境保护规划》（闽政办〔2021〕59号）、《福建省人民政府关于印发福建省“十四五”节能减排综合性工作方案的通知》(闽政[2022]17号)，有关主要污染物排放总量控制计划的要求，结合本项目排污特征，确定本项目总量控制因子为挥发性有机物（以非甲烷总烃计）。</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通过采取有效的环保治理措施及“以新带老”措施后，项目建成后非甲烷总烃较现有工程减少</w:t>
            </w:r>
            <w:r>
              <w:rPr>
                <w:rFonts w:hint="eastAsia" w:ascii="Times New Roman" w:hAnsi="Times New Roman" w:cs="Times New Roman"/>
                <w:color w:val="auto"/>
                <w:highlight w:val="none"/>
                <w:lang w:val="en-US" w:eastAsia="zh-CN"/>
              </w:rPr>
              <w:t>3.5005</w:t>
            </w:r>
            <w:r>
              <w:rPr>
                <w:rFonts w:hint="default" w:ascii="Times New Roman" w:hAnsi="Times New Roman" w:cs="Times New Roman"/>
                <w:color w:val="auto"/>
                <w:highlight w:val="none"/>
                <w:lang w:val="en-US" w:eastAsia="zh-CN"/>
              </w:rPr>
              <w:t>t/a，因此无需进行VOCs总量调剂申请。</w:t>
            </w:r>
          </w:p>
          <w:p>
            <w:pPr>
              <w:pStyle w:val="5"/>
              <w:ind w:firstLine="480"/>
              <w:rPr>
                <w:rFonts w:hint="default" w:ascii="Times New Roman" w:hAnsi="Times New Roman" w:cs="Times New Roman"/>
                <w:color w:val="auto"/>
                <w:highlight w:val="none"/>
                <w:lang w:val="en-US" w:eastAsia="zh-CN"/>
              </w:rPr>
            </w:pPr>
          </w:p>
          <w:p>
            <w:pPr>
              <w:pStyle w:val="5"/>
              <w:ind w:firstLine="480"/>
              <w:rPr>
                <w:rFonts w:hint="default" w:ascii="Times New Roman" w:hAnsi="Times New Roman" w:cs="Times New Roman"/>
                <w:color w:val="auto"/>
                <w:highlight w:val="none"/>
                <w:lang w:val="en-US" w:eastAsia="zh-CN"/>
              </w:rPr>
            </w:pPr>
          </w:p>
          <w:p>
            <w:pPr>
              <w:pStyle w:val="1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区域调配指标一览表  单位：t/a</w:t>
            </w:r>
          </w:p>
          <w:tbl>
            <w:tblPr>
              <w:tblStyle w:val="12"/>
              <w:tblW w:w="8244"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1185"/>
              <w:gridCol w:w="1005"/>
              <w:gridCol w:w="1145"/>
              <w:gridCol w:w="914"/>
              <w:gridCol w:w="1100"/>
              <w:gridCol w:w="143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9" w:type="dxa"/>
                  <w:tcBorders>
                    <w:tl2br w:val="nil"/>
                    <w:tr2bl w:val="nil"/>
                  </w:tcBorders>
                  <w:vAlign w:val="center"/>
                </w:tcPr>
                <w:p>
                  <w:pPr>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污染物</w:t>
                  </w:r>
                </w:p>
              </w:tc>
              <w:tc>
                <w:tcPr>
                  <w:tcW w:w="1185" w:type="dxa"/>
                  <w:tcBorders>
                    <w:tl2br w:val="nil"/>
                    <w:tr2bl w:val="nil"/>
                  </w:tcBorders>
                  <w:vAlign w:val="center"/>
                </w:tcPr>
                <w:p>
                  <w:pPr>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现有工程排放量</w:t>
                  </w:r>
                </w:p>
              </w:tc>
              <w:tc>
                <w:tcPr>
                  <w:tcW w:w="1005" w:type="dxa"/>
                  <w:tcBorders>
                    <w:tl2br w:val="nil"/>
                    <w:tr2bl w:val="nil"/>
                  </w:tcBorders>
                  <w:vAlign w:val="center"/>
                </w:tcPr>
                <w:p>
                  <w:pPr>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排污许可证申报指标</w:t>
                  </w:r>
                </w:p>
              </w:tc>
              <w:tc>
                <w:tcPr>
                  <w:tcW w:w="1145" w:type="dxa"/>
                  <w:tcBorders>
                    <w:tl2br w:val="nil"/>
                    <w:tr2bl w:val="nil"/>
                  </w:tcBorders>
                  <w:vAlign w:val="center"/>
                </w:tcPr>
                <w:p>
                  <w:pPr>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“以新带老”削减量</w:t>
                  </w:r>
                </w:p>
              </w:tc>
              <w:tc>
                <w:tcPr>
                  <w:tcW w:w="914" w:type="dxa"/>
                  <w:tcBorders>
                    <w:tl2br w:val="nil"/>
                    <w:tr2bl w:val="nil"/>
                  </w:tcBorders>
                  <w:vAlign w:val="center"/>
                </w:tcPr>
                <w:p>
                  <w:pPr>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本次工程排放量</w:t>
                  </w:r>
                </w:p>
              </w:tc>
              <w:tc>
                <w:tcPr>
                  <w:tcW w:w="1100" w:type="dxa"/>
                  <w:tcBorders>
                    <w:tl2br w:val="nil"/>
                    <w:tr2bl w:val="nil"/>
                  </w:tcBorders>
                  <w:vAlign w:val="center"/>
                </w:tcPr>
                <w:p>
                  <w:pPr>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全厂排放总量</w:t>
                  </w:r>
                </w:p>
              </w:tc>
              <w:tc>
                <w:tcPr>
                  <w:tcW w:w="1436" w:type="dxa"/>
                  <w:tcBorders>
                    <w:tl2br w:val="nil"/>
                    <w:tr2bl w:val="nil"/>
                  </w:tcBorders>
                  <w:vAlign w:val="center"/>
                </w:tcPr>
                <w:p>
                  <w:pPr>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总体增减量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59" w:type="dxa"/>
                  <w:tcBorders>
                    <w:tl2br w:val="nil"/>
                    <w:tr2bl w:val="nil"/>
                  </w:tcBorders>
                  <w:vAlign w:val="center"/>
                </w:tcPr>
                <w:p>
                  <w:pPr>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非甲烷总烃</w:t>
                  </w:r>
                </w:p>
              </w:tc>
              <w:tc>
                <w:tcPr>
                  <w:tcW w:w="1185" w:type="dxa"/>
                  <w:tcBorders>
                    <w:tl2br w:val="nil"/>
                    <w:tr2bl w:val="nil"/>
                  </w:tcBorders>
                  <w:vAlign w:val="center"/>
                </w:tcPr>
                <w:p>
                  <w:pPr>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1"/>
                      <w:szCs w:val="21"/>
                      <w:highlight w:val="none"/>
                      <w:vertAlign w:val="baseline"/>
                      <w:lang w:val="en-US" w:eastAsia="zh-CN"/>
                    </w:rPr>
                    <w:t>24.2312</w:t>
                  </w:r>
                </w:p>
              </w:tc>
              <w:tc>
                <w:tcPr>
                  <w:tcW w:w="1005" w:type="dxa"/>
                  <w:tcBorders>
                    <w:tl2br w:val="nil"/>
                    <w:tr2bl w:val="nil"/>
                  </w:tcBorders>
                  <w:vAlign w:val="center"/>
                </w:tcPr>
                <w:p>
                  <w:pPr>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103.68</w:t>
                  </w:r>
                </w:p>
              </w:tc>
              <w:tc>
                <w:tcPr>
                  <w:tcW w:w="1145" w:type="dxa"/>
                  <w:tcBorders>
                    <w:tl2br w:val="nil"/>
                    <w:tr2bl w:val="nil"/>
                  </w:tcBorders>
                  <w:vAlign w:val="center"/>
                </w:tcPr>
                <w:p>
                  <w:pPr>
                    <w:bidi w:val="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3.5005</w:t>
                  </w:r>
                </w:p>
              </w:tc>
              <w:tc>
                <w:tcPr>
                  <w:tcW w:w="914" w:type="dxa"/>
                  <w:tcBorders>
                    <w:tl2br w:val="nil"/>
                    <w:tr2bl w:val="nil"/>
                  </w:tcBorders>
                  <w:vAlign w:val="center"/>
                </w:tcPr>
                <w:p>
                  <w:pPr>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1100"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20.7307 </w:t>
                  </w:r>
                </w:p>
              </w:tc>
              <w:tc>
                <w:tcPr>
                  <w:tcW w:w="1436"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 xml:space="preserve">-3.5005 </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44" w:type="dxa"/>
                  <w:gridSpan w:val="7"/>
                  <w:tcBorders>
                    <w:tl2br w:val="nil"/>
                    <w:tr2bl w:val="nil"/>
                  </w:tcBorders>
                  <w:vAlign w:val="center"/>
                </w:tcPr>
                <w:p>
                  <w:pPr>
                    <w:pStyle w:val="16"/>
                    <w:ind w:left="0" w:leftChars="0" w:firstLine="0" w:firstLineChars="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注：本项目排放量已计入“以新带老”削减量。</w:t>
                  </w:r>
                </w:p>
              </w:tc>
            </w:tr>
          </w:tbl>
          <w:p>
            <w:pPr>
              <w:pStyle w:val="16"/>
              <w:rPr>
                <w:rFonts w:hint="default" w:ascii="Times New Roman" w:hAnsi="Times New Roman" w:cs="Times New Roman"/>
                <w:color w:val="auto"/>
                <w:highlight w:val="none"/>
                <w:lang w:val="en-US" w:eastAsia="zh-CN"/>
              </w:rPr>
            </w:pPr>
          </w:p>
        </w:tc>
      </w:tr>
    </w:tbl>
    <w:p>
      <w:pPr>
        <w:pStyle w:val="3"/>
        <w:bidi w:val="0"/>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sz w:val="36"/>
          <w:szCs w:val="36"/>
          <w:highlight w:val="none"/>
        </w:rPr>
        <w:br w:type="page"/>
      </w:r>
      <w:r>
        <w:rPr>
          <w:rFonts w:hint="default" w:ascii="Times New Roman" w:hAnsi="Times New Roman" w:cs="Times New Roman"/>
          <w:snapToGrid w:val="0"/>
          <w:color w:val="auto"/>
          <w:highlight w:val="none"/>
        </w:rPr>
        <w:t>主要环境影响和保护措施</w:t>
      </w:r>
    </w:p>
    <w:tbl>
      <w:tblPr>
        <w:tblStyle w:val="11"/>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66"/>
        <w:gridCol w:w="87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7" w:hRule="atLeast"/>
          <w:jc w:val="center"/>
        </w:trPr>
        <w:tc>
          <w:tcPr>
            <w:tcW w:w="266" w:type="dxa"/>
            <w:tcMar>
              <w:left w:w="28" w:type="dxa"/>
              <w:right w:w="28" w:type="dxa"/>
            </w:tcMar>
            <w:vAlign w:val="center"/>
          </w:tcPr>
          <w:p>
            <w:pPr>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施工</w:t>
            </w:r>
          </w:p>
          <w:p>
            <w:pPr>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期环</w:t>
            </w:r>
          </w:p>
          <w:p>
            <w:pPr>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境保</w:t>
            </w:r>
          </w:p>
          <w:p>
            <w:pPr>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护措</w:t>
            </w:r>
          </w:p>
          <w:p>
            <w:pPr>
              <w:adjustRightInd w:val="0"/>
              <w:snapToGrid w:val="0"/>
              <w:spacing w:before="0" w:beforeAutospacing="0" w:after="0" w:afterAutospacing="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color w:val="auto"/>
                <w:kern w:val="2"/>
                <w:sz w:val="21"/>
                <w:szCs w:val="21"/>
                <w:highlight w:val="none"/>
              </w:rPr>
              <w:t>施</w:t>
            </w:r>
          </w:p>
        </w:tc>
        <w:tc>
          <w:tcPr>
            <w:tcW w:w="8715" w:type="dxa"/>
            <w:vAlign w:val="center"/>
          </w:tcPr>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本项目在现有</w:t>
            </w:r>
            <w:r>
              <w:rPr>
                <w:rFonts w:hint="default" w:ascii="Times New Roman" w:hAnsi="Times New Roman" w:cs="Times New Roman"/>
                <w:color w:val="auto"/>
                <w:highlight w:val="none"/>
                <w:lang w:val="en-US" w:eastAsia="zh-CN"/>
              </w:rPr>
              <w:t>厂区空地内进行建设</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项目施工期主要为设备安装、调试阶段产生的环境问题。</w:t>
            </w:r>
            <w:r>
              <w:rPr>
                <w:rFonts w:hint="default" w:ascii="Times New Roman" w:hAnsi="Times New Roman" w:cs="Times New Roman"/>
                <w:bCs/>
                <w:color w:val="auto"/>
                <w:highlight w:val="none"/>
                <w:lang w:val="en-US" w:eastAsia="zh-CN"/>
              </w:rPr>
              <w:t>在2#喷淋塔和3#喷淋塔旁各安装1套DMF废液回收设备，</w:t>
            </w:r>
            <w:r>
              <w:rPr>
                <w:rFonts w:hint="default" w:ascii="Times New Roman" w:hAnsi="Times New Roman" w:cs="Times New Roman"/>
                <w:bCs/>
                <w:color w:val="auto"/>
                <w:highlight w:val="none"/>
              </w:rPr>
              <w:t>设备安装、调试简单，且时间较短，随着设备安装、调试完毕后，项目施工期也将结束，施工期环境影响也随着消失，对周边环境影响较小。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66" w:type="dxa"/>
            <w:tcMar>
              <w:left w:w="28" w:type="dxa"/>
              <w:right w:w="28" w:type="dxa"/>
            </w:tcMar>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期环</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境影</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响和</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保护</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措施</w:t>
            </w:r>
          </w:p>
        </w:tc>
        <w:tc>
          <w:tcPr>
            <w:tcW w:w="8715" w:type="dxa"/>
            <w:vAlign w:val="center"/>
          </w:tcPr>
          <w:p>
            <w:pPr>
              <w:pStyle w:val="2"/>
              <w:numPr>
                <w:ilvl w:val="1"/>
                <w:numId w:val="9"/>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废气</w:t>
            </w:r>
          </w:p>
          <w:p>
            <w:pPr>
              <w:pStyle w:val="5"/>
              <w:numPr>
                <w:ilvl w:val="0"/>
                <w:numId w:val="0"/>
              </w:numPr>
              <w:ind w:left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废气污染源分析</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次新增的DMF废液回收处理设备采用的是低温蒸馏分离技术，温度控制在80~100℃，而DMF在153℃以上才会分解产生甲酸和二甲胺，因此尾气中不含甲酸和二甲胺。DMF废液经超重力精馏床气液能够得到有效分离，理论上不含DMF废气，考虑水汽可能夹带着极少量的DMF，因此为避免水汽夹带DMF直接进入外环境，将尾气就近引至填料喷淋塔进一步处理后通过17m高排气筒排放。</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设有两套DMF回收设备，其中设备（1）位于2#喷淋塔旁，尾气经收集后引至2#喷淋塔处理后通过17m高排气筒排放（DA002），设备（2）位于3#喷淋塔旁，尾气经收集后引至3#喷淋塔处理后通过17m高排气筒排放（DA003）本项目废气已并入“以新带老”工程统计。</w:t>
            </w:r>
          </w:p>
          <w:p>
            <w:pPr>
              <w:pStyle w:val="1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废气处理措施</w:t>
            </w:r>
          </w:p>
          <w:tbl>
            <w:tblPr>
              <w:tblStyle w:val="11"/>
              <w:tblW w:w="8499"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1290"/>
              <w:gridCol w:w="1465"/>
              <w:gridCol w:w="1963"/>
              <w:gridCol w:w="950"/>
              <w:gridCol w:w="175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9" w:type="dxa"/>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产污</w:t>
                  </w:r>
                </w:p>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环节</w:t>
                  </w:r>
                </w:p>
              </w:tc>
              <w:tc>
                <w:tcPr>
                  <w:tcW w:w="1290" w:type="dxa"/>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污染因子</w:t>
                  </w:r>
                </w:p>
              </w:tc>
              <w:tc>
                <w:tcPr>
                  <w:tcW w:w="6130" w:type="dxa"/>
                  <w:gridSpan w:val="4"/>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治理设施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9"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90"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465"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工艺</w:t>
                  </w:r>
                </w:p>
              </w:tc>
              <w:tc>
                <w:tcPr>
                  <w:tcW w:w="1963"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设计</w:t>
                  </w:r>
                  <w:r>
                    <w:rPr>
                      <w:rFonts w:hint="default" w:ascii="Times New Roman" w:hAnsi="Times New Roman" w:cs="Times New Roman"/>
                      <w:color w:val="auto"/>
                      <w:highlight w:val="none"/>
                    </w:rPr>
                    <w:t>处理能力m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/h</w:t>
                  </w:r>
                </w:p>
              </w:tc>
              <w:tc>
                <w:tcPr>
                  <w:tcW w:w="950"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去除率</w:t>
                  </w:r>
                </w:p>
              </w:tc>
              <w:tc>
                <w:tcPr>
                  <w:tcW w:w="1752"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是否为可行技术</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9" w:type="dxa"/>
                  <w:vMerge w:val="restart"/>
                  <w:tcBorders>
                    <w:tl2br w:val="nil"/>
                    <w:tr2bl w:val="nil"/>
                  </w:tcBorders>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DMF回收设备（1）尾气</w:t>
                  </w:r>
                </w:p>
              </w:tc>
              <w:tc>
                <w:tcPr>
                  <w:tcW w:w="1290" w:type="dxa"/>
                  <w:tcBorders>
                    <w:tl2br w:val="nil"/>
                    <w:tr2bl w:val="nil"/>
                  </w:tcBorders>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DMF</w:t>
                  </w:r>
                </w:p>
              </w:tc>
              <w:tc>
                <w:tcPr>
                  <w:tcW w:w="1465" w:type="dxa"/>
                  <w:vMerge w:val="restart"/>
                  <w:tcBorders>
                    <w:tl2br w:val="nil"/>
                    <w:tr2bl w:val="nil"/>
                  </w:tcBorders>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管道密闭收集+三段式填料喷淋塔</w:t>
                  </w:r>
                </w:p>
              </w:tc>
              <w:tc>
                <w:tcPr>
                  <w:tcW w:w="1963" w:type="dxa"/>
                  <w:vMerge w:val="restart"/>
                  <w:tcBorders>
                    <w:tl2br w:val="nil"/>
                    <w:tr2bl w:val="nil"/>
                  </w:tcBorders>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60000</w:t>
                  </w:r>
                </w:p>
              </w:tc>
              <w:tc>
                <w:tcPr>
                  <w:tcW w:w="950"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9</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w:t>
                  </w:r>
                </w:p>
              </w:tc>
              <w:tc>
                <w:tcPr>
                  <w:tcW w:w="1752" w:type="dxa"/>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9" w:type="dxa"/>
                  <w:vMerge w:val="continue"/>
                  <w:tcBorders>
                    <w:tl2br w:val="nil"/>
                    <w:tr2bl w:val="nil"/>
                  </w:tcBorders>
                  <w:vAlign w:val="center"/>
                </w:tcPr>
                <w:p>
                  <w:pPr>
                    <w:jc w:val="center"/>
                    <w:rPr>
                      <w:rFonts w:hint="default" w:ascii="Times New Roman" w:hAnsi="Times New Roman" w:eastAsia="宋体" w:cs="Times New Roman"/>
                      <w:color w:val="auto"/>
                      <w:highlight w:val="none"/>
                      <w:lang w:eastAsia="zh-CN"/>
                    </w:rPr>
                  </w:pPr>
                </w:p>
              </w:tc>
              <w:tc>
                <w:tcPr>
                  <w:tcW w:w="1290" w:type="dxa"/>
                  <w:tcBorders>
                    <w:tl2br w:val="nil"/>
                    <w:tr2bl w:val="nil"/>
                  </w:tcBorders>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臭气浓度</w:t>
                  </w:r>
                </w:p>
              </w:tc>
              <w:tc>
                <w:tcPr>
                  <w:tcW w:w="1465" w:type="dxa"/>
                  <w:vMerge w:val="continue"/>
                  <w:tcBorders>
                    <w:tl2br w:val="nil"/>
                    <w:tr2bl w:val="nil"/>
                  </w:tcBorders>
                  <w:vAlign w:val="center"/>
                </w:tcPr>
                <w:p>
                  <w:pPr>
                    <w:jc w:val="center"/>
                    <w:rPr>
                      <w:rFonts w:hint="default" w:ascii="Times New Roman" w:hAnsi="Times New Roman" w:cs="Times New Roman"/>
                      <w:color w:val="auto"/>
                      <w:highlight w:val="none"/>
                      <w:lang w:val="en-US" w:eastAsia="zh-CN"/>
                    </w:rPr>
                  </w:pPr>
                </w:p>
              </w:tc>
              <w:tc>
                <w:tcPr>
                  <w:tcW w:w="1963"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950" w:type="dxa"/>
                  <w:tcBorders>
                    <w:tl2br w:val="nil"/>
                    <w:tr2bl w:val="nil"/>
                  </w:tcBorders>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52" w:type="dxa"/>
                  <w:vMerge w:val="continue"/>
                  <w:tcBorders>
                    <w:tl2br w:val="nil"/>
                    <w:tr2bl w:val="nil"/>
                  </w:tcBorders>
                  <w:vAlign w:val="center"/>
                </w:tcPr>
                <w:p>
                  <w:pPr>
                    <w:jc w:val="center"/>
                    <w:rPr>
                      <w:rFonts w:hint="default" w:ascii="Times New Roman" w:hAnsi="Times New Roman" w:cs="Times New Roman"/>
                      <w:color w:val="auto"/>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9"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90" w:type="dxa"/>
                  <w:tcBorders>
                    <w:tl2br w:val="nil"/>
                    <w:tr2bl w:val="nil"/>
                  </w:tcBorders>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非甲烷总烃</w:t>
                  </w:r>
                </w:p>
              </w:tc>
              <w:tc>
                <w:tcPr>
                  <w:tcW w:w="1465" w:type="dxa"/>
                  <w:vMerge w:val="continue"/>
                  <w:tcBorders>
                    <w:tl2br w:val="nil"/>
                    <w:tr2bl w:val="nil"/>
                  </w:tcBorders>
                  <w:vAlign w:val="center"/>
                </w:tcPr>
                <w:p>
                  <w:pPr>
                    <w:jc w:val="center"/>
                    <w:rPr>
                      <w:rFonts w:hint="default" w:ascii="Times New Roman" w:hAnsi="Times New Roman" w:cs="Times New Roman"/>
                      <w:color w:val="auto"/>
                      <w:highlight w:val="none"/>
                      <w:lang w:val="en-US" w:eastAsia="zh-CN"/>
                    </w:rPr>
                  </w:pPr>
                </w:p>
              </w:tc>
              <w:tc>
                <w:tcPr>
                  <w:tcW w:w="1963" w:type="dxa"/>
                  <w:vMerge w:val="continue"/>
                  <w:tcBorders>
                    <w:tl2br w:val="nil"/>
                    <w:tr2bl w:val="nil"/>
                  </w:tcBorders>
                  <w:vAlign w:val="center"/>
                </w:tcPr>
                <w:p>
                  <w:pPr>
                    <w:jc w:val="center"/>
                    <w:rPr>
                      <w:rFonts w:hint="default" w:ascii="Times New Roman" w:hAnsi="Times New Roman" w:cs="Times New Roman"/>
                      <w:color w:val="auto"/>
                      <w:highlight w:val="none"/>
                      <w:lang w:val="en-US" w:eastAsia="zh-CN"/>
                    </w:rPr>
                  </w:pPr>
                </w:p>
              </w:tc>
              <w:tc>
                <w:tcPr>
                  <w:tcW w:w="950" w:type="dxa"/>
                  <w:tcBorders>
                    <w:tl2br w:val="nil"/>
                    <w:tr2bl w:val="nil"/>
                  </w:tcBorders>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85%</w:t>
                  </w:r>
                </w:p>
              </w:tc>
              <w:tc>
                <w:tcPr>
                  <w:tcW w:w="1752" w:type="dxa"/>
                  <w:vMerge w:val="continue"/>
                  <w:tcBorders>
                    <w:tl2br w:val="nil"/>
                    <w:tr2bl w:val="nil"/>
                  </w:tcBorders>
                  <w:vAlign w:val="center"/>
                </w:tcPr>
                <w:p>
                  <w:pPr>
                    <w:jc w:val="center"/>
                    <w:rPr>
                      <w:rFonts w:hint="default" w:ascii="Times New Roman" w:hAnsi="Times New Roman" w:cs="Times New Roman"/>
                      <w:color w:val="auto"/>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9" w:type="dxa"/>
                  <w:vMerge w:val="restart"/>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DMF回收设备（2）尾气</w:t>
                  </w:r>
                </w:p>
              </w:tc>
              <w:tc>
                <w:tcPr>
                  <w:tcW w:w="1290" w:type="dxa"/>
                  <w:tcBorders>
                    <w:tl2br w:val="nil"/>
                    <w:tr2bl w:val="nil"/>
                  </w:tcBorders>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DMF</w:t>
                  </w:r>
                </w:p>
              </w:tc>
              <w:tc>
                <w:tcPr>
                  <w:tcW w:w="1465" w:type="dxa"/>
                  <w:vMerge w:val="restart"/>
                  <w:tcBorders>
                    <w:tl2br w:val="nil"/>
                    <w:tr2bl w:val="nil"/>
                  </w:tcBorders>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管道密闭收集+三段式填料喷淋塔</w:t>
                  </w:r>
                </w:p>
              </w:tc>
              <w:tc>
                <w:tcPr>
                  <w:tcW w:w="1963" w:type="dxa"/>
                  <w:vMerge w:val="restart"/>
                  <w:tcBorders>
                    <w:tl2br w:val="nil"/>
                    <w:tr2bl w:val="nil"/>
                  </w:tcBorders>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60000</w:t>
                  </w:r>
                </w:p>
              </w:tc>
              <w:tc>
                <w:tcPr>
                  <w:tcW w:w="950" w:type="dxa"/>
                  <w:tcBorders>
                    <w:tl2br w:val="nil"/>
                    <w:tr2bl w:val="nil"/>
                  </w:tcBorders>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9</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w:t>
                  </w:r>
                </w:p>
              </w:tc>
              <w:tc>
                <w:tcPr>
                  <w:tcW w:w="1752" w:type="dxa"/>
                  <w:vMerge w:val="restart"/>
                  <w:tcBorders>
                    <w:tl2br w:val="nil"/>
                    <w:tr2bl w:val="nil"/>
                  </w:tcBorders>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是</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9"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90" w:type="dxa"/>
                  <w:tcBorders>
                    <w:tl2br w:val="nil"/>
                    <w:tr2bl w:val="nil"/>
                  </w:tcBorders>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臭气浓度</w:t>
                  </w:r>
                </w:p>
              </w:tc>
              <w:tc>
                <w:tcPr>
                  <w:tcW w:w="1465" w:type="dxa"/>
                  <w:vMerge w:val="continue"/>
                  <w:tcBorders>
                    <w:tl2br w:val="nil"/>
                    <w:tr2bl w:val="nil"/>
                  </w:tcBorders>
                  <w:vAlign w:val="center"/>
                </w:tcPr>
                <w:p>
                  <w:pPr>
                    <w:jc w:val="center"/>
                    <w:rPr>
                      <w:rFonts w:hint="default" w:ascii="Times New Roman" w:hAnsi="Times New Roman" w:cs="Times New Roman"/>
                      <w:color w:val="auto"/>
                      <w:highlight w:val="none"/>
                      <w:lang w:val="en-US" w:eastAsia="zh-CN"/>
                    </w:rPr>
                  </w:pPr>
                </w:p>
              </w:tc>
              <w:tc>
                <w:tcPr>
                  <w:tcW w:w="1963" w:type="dxa"/>
                  <w:vMerge w:val="continue"/>
                  <w:tcBorders>
                    <w:tl2br w:val="nil"/>
                    <w:tr2bl w:val="nil"/>
                  </w:tcBorders>
                  <w:vAlign w:val="center"/>
                </w:tcPr>
                <w:p>
                  <w:pPr>
                    <w:jc w:val="center"/>
                    <w:rPr>
                      <w:rFonts w:hint="default" w:ascii="Times New Roman" w:hAnsi="Times New Roman" w:cs="Times New Roman"/>
                      <w:color w:val="auto"/>
                      <w:highlight w:val="none"/>
                      <w:lang w:val="en-US" w:eastAsia="zh-CN"/>
                    </w:rPr>
                  </w:pPr>
                </w:p>
              </w:tc>
              <w:tc>
                <w:tcPr>
                  <w:tcW w:w="950" w:type="dxa"/>
                  <w:tcBorders>
                    <w:tl2br w:val="nil"/>
                    <w:tr2bl w:val="nil"/>
                  </w:tcBorders>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52" w:type="dxa"/>
                  <w:vMerge w:val="continue"/>
                  <w:tcBorders>
                    <w:tl2br w:val="nil"/>
                    <w:tr2bl w:val="nil"/>
                  </w:tcBorders>
                  <w:vAlign w:val="center"/>
                </w:tcPr>
                <w:p>
                  <w:pPr>
                    <w:jc w:val="center"/>
                    <w:rPr>
                      <w:rFonts w:hint="default" w:ascii="Times New Roman" w:hAnsi="Times New Roman" w:cs="Times New Roman"/>
                      <w:color w:val="auto"/>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9" w:type="dxa"/>
                  <w:vMerge w:val="continue"/>
                  <w:tcBorders>
                    <w:tl2br w:val="nil"/>
                    <w:tr2bl w:val="nil"/>
                  </w:tcBorders>
                  <w:vAlign w:val="center"/>
                </w:tcPr>
                <w:p>
                  <w:pPr>
                    <w:jc w:val="center"/>
                    <w:rPr>
                      <w:rFonts w:hint="default" w:ascii="Times New Roman" w:hAnsi="Times New Roman" w:cs="Times New Roman"/>
                      <w:color w:val="auto"/>
                      <w:highlight w:val="none"/>
                    </w:rPr>
                  </w:pPr>
                </w:p>
              </w:tc>
              <w:tc>
                <w:tcPr>
                  <w:tcW w:w="1290" w:type="dxa"/>
                  <w:tcBorders>
                    <w:tl2br w:val="nil"/>
                    <w:tr2bl w:val="nil"/>
                  </w:tcBorders>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非甲烷总烃</w:t>
                  </w:r>
                </w:p>
              </w:tc>
              <w:tc>
                <w:tcPr>
                  <w:tcW w:w="1465" w:type="dxa"/>
                  <w:vMerge w:val="continue"/>
                  <w:tcBorders>
                    <w:tl2br w:val="nil"/>
                    <w:tr2bl w:val="nil"/>
                  </w:tcBorders>
                  <w:vAlign w:val="center"/>
                </w:tcPr>
                <w:p>
                  <w:pPr>
                    <w:jc w:val="center"/>
                    <w:rPr>
                      <w:rFonts w:hint="default" w:ascii="Times New Roman" w:hAnsi="Times New Roman" w:cs="Times New Roman"/>
                      <w:color w:val="auto"/>
                      <w:highlight w:val="none"/>
                      <w:lang w:val="en-US" w:eastAsia="zh-CN"/>
                    </w:rPr>
                  </w:pPr>
                </w:p>
              </w:tc>
              <w:tc>
                <w:tcPr>
                  <w:tcW w:w="1963" w:type="dxa"/>
                  <w:vMerge w:val="continue"/>
                  <w:tcBorders>
                    <w:tl2br w:val="nil"/>
                    <w:tr2bl w:val="nil"/>
                  </w:tcBorders>
                  <w:vAlign w:val="center"/>
                </w:tcPr>
                <w:p>
                  <w:pPr>
                    <w:jc w:val="center"/>
                    <w:rPr>
                      <w:rFonts w:hint="default" w:ascii="Times New Roman" w:hAnsi="Times New Roman" w:cs="Times New Roman"/>
                      <w:color w:val="auto"/>
                      <w:highlight w:val="none"/>
                      <w:lang w:val="en-US" w:eastAsia="zh-CN"/>
                    </w:rPr>
                  </w:pPr>
                </w:p>
              </w:tc>
              <w:tc>
                <w:tcPr>
                  <w:tcW w:w="950" w:type="dxa"/>
                  <w:tcBorders>
                    <w:tl2br w:val="nil"/>
                    <w:tr2bl w:val="nil"/>
                  </w:tcBorders>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85%</w:t>
                  </w:r>
                </w:p>
              </w:tc>
              <w:tc>
                <w:tcPr>
                  <w:tcW w:w="1752" w:type="dxa"/>
                  <w:vMerge w:val="continue"/>
                  <w:tcBorders>
                    <w:tl2br w:val="nil"/>
                    <w:tr2bl w:val="nil"/>
                  </w:tcBorders>
                  <w:vAlign w:val="center"/>
                </w:tcPr>
                <w:p>
                  <w:pPr>
                    <w:jc w:val="center"/>
                    <w:rPr>
                      <w:rFonts w:hint="default" w:ascii="Times New Roman" w:hAnsi="Times New Roman" w:cs="Times New Roman"/>
                      <w:color w:val="auto"/>
                      <w:highlight w:val="none"/>
                      <w:lang w:val="en-US" w:eastAsia="zh-CN"/>
                    </w:rPr>
                  </w:pPr>
                </w:p>
              </w:tc>
            </w:tr>
          </w:tbl>
          <w:p>
            <w:pPr>
              <w:pStyle w:val="1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排气筒基本情况一览表</w:t>
            </w:r>
          </w:p>
          <w:tbl>
            <w:tblPr>
              <w:tblStyle w:val="11"/>
              <w:tblW w:w="8499"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323"/>
              <w:gridCol w:w="997"/>
              <w:gridCol w:w="1795"/>
              <w:gridCol w:w="1036"/>
              <w:gridCol w:w="1451"/>
              <w:gridCol w:w="106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编号</w:t>
                  </w:r>
                </w:p>
              </w:tc>
              <w:tc>
                <w:tcPr>
                  <w:tcW w:w="1323"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排气筒名称</w:t>
                  </w:r>
                </w:p>
              </w:tc>
              <w:tc>
                <w:tcPr>
                  <w:tcW w:w="997"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类型</w:t>
                  </w:r>
                </w:p>
              </w:tc>
              <w:tc>
                <w:tcPr>
                  <w:tcW w:w="1795"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排气筒地理坐标</w:t>
                  </w:r>
                </w:p>
              </w:tc>
              <w:tc>
                <w:tcPr>
                  <w:tcW w:w="1036"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排气筒高度/m</w:t>
                  </w:r>
                </w:p>
              </w:tc>
              <w:tc>
                <w:tcPr>
                  <w:tcW w:w="1451"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排气筒出口内径/m</w:t>
                  </w:r>
                </w:p>
              </w:tc>
              <w:tc>
                <w:tcPr>
                  <w:tcW w:w="1062"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烟气温度/℃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DA002</w:t>
                  </w:r>
                </w:p>
              </w:tc>
              <w:tc>
                <w:tcPr>
                  <w:tcW w:w="1323" w:type="dxa"/>
                  <w:tcBorders>
                    <w:tl2br w:val="nil"/>
                    <w:tr2bl w:val="nil"/>
                  </w:tcBorders>
                  <w:vAlign w:val="center"/>
                </w:tcPr>
                <w:p>
                  <w:pPr>
                    <w:spacing w:line="240" w:lineRule="auto"/>
                    <w:jc w:val="center"/>
                    <w:rPr>
                      <w:rFonts w:hint="default" w:ascii="Times New Roman" w:hAnsi="Times New Roman" w:cs="Times New Roman"/>
                      <w:snapToGrid w:val="0"/>
                      <w:color w:val="auto"/>
                      <w:spacing w:val="4"/>
                      <w:sz w:val="21"/>
                      <w:szCs w:val="21"/>
                      <w:highlight w:val="none"/>
                      <w:lang w:val="en-US" w:eastAsia="zh-CN" w:bidi="ar-SA"/>
                    </w:rPr>
                  </w:pPr>
                  <w:r>
                    <w:rPr>
                      <w:rFonts w:hint="default" w:ascii="Times New Roman" w:hAnsi="Times New Roman" w:cs="Times New Roman"/>
                      <w:snapToGrid w:val="0"/>
                      <w:color w:val="auto"/>
                      <w:spacing w:val="4"/>
                      <w:sz w:val="21"/>
                      <w:szCs w:val="21"/>
                      <w:highlight w:val="none"/>
                      <w:lang w:val="en-US" w:eastAsia="zh-CN" w:bidi="ar-SA"/>
                    </w:rPr>
                    <w:t>2#喷淋塔</w:t>
                  </w:r>
                </w:p>
              </w:tc>
              <w:tc>
                <w:tcPr>
                  <w:tcW w:w="997"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一般</w:t>
                  </w:r>
                  <w:r>
                    <w:rPr>
                      <w:rFonts w:hint="default" w:ascii="Times New Roman" w:hAnsi="Times New Roman" w:cs="Times New Roman"/>
                      <w:color w:val="auto"/>
                      <w:szCs w:val="21"/>
                      <w:highlight w:val="none"/>
                    </w:rPr>
                    <w:t>排放口</w:t>
                  </w:r>
                </w:p>
              </w:tc>
              <w:tc>
                <w:tcPr>
                  <w:tcW w:w="1795"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120°1</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4.39</w:t>
                  </w:r>
                  <w:r>
                    <w:rPr>
                      <w:rFonts w:hint="default" w:ascii="Times New Roman" w:hAnsi="Times New Roman" w:cs="Times New Roman"/>
                      <w:color w:val="auto"/>
                      <w:szCs w:val="21"/>
                      <w:highlight w:val="none"/>
                    </w:rPr>
                    <w:t>″E</w:t>
                  </w:r>
                </w:p>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27°03′</w:t>
                  </w:r>
                  <w:r>
                    <w:rPr>
                      <w:rFonts w:hint="default" w:ascii="Times New Roman" w:hAnsi="Times New Roman" w:cs="Times New Roman"/>
                      <w:color w:val="auto"/>
                      <w:szCs w:val="21"/>
                      <w:highlight w:val="none"/>
                      <w:lang w:val="en-US" w:eastAsia="zh-CN"/>
                    </w:rPr>
                    <w:t>51.16</w:t>
                  </w:r>
                  <w:r>
                    <w:rPr>
                      <w:rFonts w:hint="default" w:ascii="Times New Roman" w:hAnsi="Times New Roman" w:cs="Times New Roman"/>
                      <w:color w:val="auto"/>
                      <w:szCs w:val="21"/>
                      <w:highlight w:val="none"/>
                    </w:rPr>
                    <w:t>″N</w:t>
                  </w:r>
                </w:p>
              </w:tc>
              <w:tc>
                <w:tcPr>
                  <w:tcW w:w="1036" w:type="dxa"/>
                  <w:tcBorders>
                    <w:tl2br w:val="nil"/>
                    <w:tr2bl w:val="nil"/>
                  </w:tcBorders>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17</w:t>
                  </w:r>
                </w:p>
              </w:tc>
              <w:tc>
                <w:tcPr>
                  <w:tcW w:w="1451" w:type="dxa"/>
                  <w:tcBorders>
                    <w:tl2br w:val="nil"/>
                    <w:tr2bl w:val="nil"/>
                  </w:tcBorders>
                  <w:vAlign w:val="center"/>
                </w:tcPr>
                <w:p>
                  <w:pPr>
                    <w:adjustRightInd w:val="0"/>
                    <w:snapToGrid w:val="0"/>
                    <w:spacing w:line="240" w:lineRule="auto"/>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0.8</w:t>
                  </w:r>
                </w:p>
              </w:tc>
              <w:tc>
                <w:tcPr>
                  <w:tcW w:w="1062" w:type="dxa"/>
                  <w:tcBorders>
                    <w:tl2br w:val="nil"/>
                    <w:tr2bl w:val="nil"/>
                  </w:tcBorders>
                  <w:vAlign w:val="center"/>
                </w:tcPr>
                <w:p>
                  <w:pPr>
                    <w:adjustRightInd w:val="0"/>
                    <w:snapToGrid w:val="0"/>
                    <w:spacing w:line="240" w:lineRule="auto"/>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5" w:type="dxa"/>
                  <w:tcBorders>
                    <w:tl2br w:val="nil"/>
                    <w:tr2bl w:val="nil"/>
                  </w:tcBorders>
                  <w:vAlign w:val="center"/>
                </w:tcPr>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DA003</w:t>
                  </w:r>
                </w:p>
              </w:tc>
              <w:tc>
                <w:tcPr>
                  <w:tcW w:w="1323" w:type="dxa"/>
                  <w:tcBorders>
                    <w:tl2br w:val="nil"/>
                    <w:tr2bl w:val="nil"/>
                  </w:tcBorders>
                  <w:vAlign w:val="center"/>
                </w:tcPr>
                <w:p>
                  <w:pPr>
                    <w:spacing w:line="240" w:lineRule="auto"/>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snapToGrid w:val="0"/>
                      <w:color w:val="auto"/>
                      <w:spacing w:val="4"/>
                      <w:sz w:val="21"/>
                      <w:szCs w:val="21"/>
                      <w:highlight w:val="none"/>
                      <w:lang w:val="en-US" w:eastAsia="zh-CN" w:bidi="ar-SA"/>
                    </w:rPr>
                    <w:t>3#喷淋塔</w:t>
                  </w:r>
                </w:p>
              </w:tc>
              <w:tc>
                <w:tcPr>
                  <w:tcW w:w="997"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一般</w:t>
                  </w:r>
                  <w:r>
                    <w:rPr>
                      <w:rFonts w:hint="default" w:ascii="Times New Roman" w:hAnsi="Times New Roman" w:cs="Times New Roman"/>
                      <w:color w:val="auto"/>
                      <w:szCs w:val="21"/>
                      <w:highlight w:val="none"/>
                    </w:rPr>
                    <w:t>排放口</w:t>
                  </w:r>
                </w:p>
              </w:tc>
              <w:tc>
                <w:tcPr>
                  <w:tcW w:w="1795"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120°1</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3.96</w:t>
                  </w:r>
                  <w:r>
                    <w:rPr>
                      <w:rFonts w:hint="default" w:ascii="Times New Roman" w:hAnsi="Times New Roman" w:cs="Times New Roman"/>
                      <w:color w:val="auto"/>
                      <w:szCs w:val="21"/>
                      <w:highlight w:val="none"/>
                    </w:rPr>
                    <w:t>″E</w:t>
                  </w:r>
                </w:p>
                <w:p>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27°03′</w:t>
                  </w:r>
                  <w:r>
                    <w:rPr>
                      <w:rFonts w:hint="default" w:ascii="Times New Roman" w:hAnsi="Times New Roman" w:cs="Times New Roman"/>
                      <w:color w:val="auto"/>
                      <w:szCs w:val="21"/>
                      <w:highlight w:val="none"/>
                      <w:lang w:val="en-US" w:eastAsia="zh-CN"/>
                    </w:rPr>
                    <w:t>49.07</w:t>
                  </w:r>
                  <w:r>
                    <w:rPr>
                      <w:rFonts w:hint="default" w:ascii="Times New Roman" w:hAnsi="Times New Roman" w:cs="Times New Roman"/>
                      <w:color w:val="auto"/>
                      <w:szCs w:val="21"/>
                      <w:highlight w:val="none"/>
                    </w:rPr>
                    <w:t>″N</w:t>
                  </w:r>
                </w:p>
              </w:tc>
              <w:tc>
                <w:tcPr>
                  <w:tcW w:w="1036" w:type="dxa"/>
                  <w:tcBorders>
                    <w:tl2br w:val="nil"/>
                    <w:tr2bl w:val="nil"/>
                  </w:tcBorders>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17</w:t>
                  </w:r>
                </w:p>
              </w:tc>
              <w:tc>
                <w:tcPr>
                  <w:tcW w:w="145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0.8</w:t>
                  </w:r>
                </w:p>
              </w:tc>
              <w:tc>
                <w:tcPr>
                  <w:tcW w:w="1062"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w:t>
                  </w:r>
                </w:p>
              </w:tc>
            </w:tr>
          </w:tbl>
          <w:p>
            <w:pPr>
              <w:pStyle w:val="16"/>
              <w:rPr>
                <w:rFonts w:hint="default" w:ascii="Times New Roman" w:hAnsi="Times New Roman" w:cs="Times New Roman"/>
                <w:color w:val="auto"/>
                <w:highlight w:val="none"/>
                <w:lang w:val="en-US" w:eastAsia="zh-CN"/>
              </w:rPr>
            </w:pPr>
          </w:p>
          <w:p>
            <w:pPr>
              <w:pStyle w:val="5"/>
              <w:numPr>
                <w:ilvl w:val="0"/>
                <w:numId w:val="0"/>
              </w:numPr>
              <w:ind w:leftChars="20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废气影响分析</w:t>
            </w:r>
            <w:r>
              <w:rPr>
                <w:rFonts w:hint="default" w:ascii="Times New Roman" w:hAnsi="Times New Roman" w:cs="Times New Roman"/>
                <w:color w:val="auto"/>
                <w:highlight w:val="none"/>
                <w:lang w:val="en-US" w:eastAsia="zh-CN"/>
              </w:rPr>
              <w:t>及措施可行性</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根据《福建瑞峰革业有限公司 年产400万米PU革深加工项目环境影响后评价》，三段式填料喷淋塔对DMF的去除效率在90%以上，对非甲烷总烃的去除率在85%以上。</w:t>
            </w:r>
            <w:r>
              <w:rPr>
                <w:rFonts w:hint="default" w:ascii="Times New Roman" w:hAnsi="Times New Roman" w:cs="Times New Roman"/>
                <w:color w:val="auto"/>
                <w:kern w:val="2"/>
                <w:szCs w:val="24"/>
                <w:highlight w:val="none"/>
                <w:lang w:val="en-US" w:eastAsia="zh-CN" w:bidi="ar"/>
              </w:rPr>
              <w:t>DA002及DA003排气筒出口DMF及非甲烷总烃等污染物排放浓度均能够满足</w:t>
            </w:r>
            <w:r>
              <w:rPr>
                <w:rFonts w:hint="default" w:ascii="Times New Roman" w:hAnsi="Times New Roman" w:cs="Times New Roman"/>
                <w:color w:val="auto"/>
                <w:highlight w:val="none"/>
                <w:lang w:val="en-US" w:eastAsia="zh-CN"/>
              </w:rPr>
              <w:t>《工业企业挥发性有机物排放标准》（DB35/1782-2018）表1合成革与人造革排放限值。DMF废液回收处理设备尾气中可能含有极少量DMF，已计入“以新带老”削减，项目的建设未新增厂区DMF及非甲烷总烃的排放量，因此尾气引至喷淋塔进行处理可行。</w:t>
            </w:r>
          </w:p>
          <w:p>
            <w:pPr>
              <w:pStyle w:val="5"/>
              <w:ind w:firstLine="480"/>
              <w:rPr>
                <w:rFonts w:hint="default" w:ascii="Times New Roman" w:hAnsi="Times New Roman" w:cs="Times New Roman"/>
                <w:color w:val="auto"/>
                <w:kern w:val="0"/>
                <w:sz w:val="24"/>
                <w:szCs w:val="20"/>
                <w:highlight w:val="none"/>
                <w:lang w:bidi="ar"/>
              </w:rPr>
            </w:pPr>
            <w:r>
              <w:rPr>
                <w:rFonts w:hint="default" w:ascii="Times New Roman" w:hAnsi="Times New Roman" w:cs="Times New Roman"/>
                <w:color w:val="auto"/>
                <w:highlight w:val="none"/>
              </w:rPr>
              <w:t>距离项目最近的</w:t>
            </w:r>
            <w:r>
              <w:rPr>
                <w:rFonts w:hint="default" w:ascii="Times New Roman" w:hAnsi="Times New Roman" w:cs="Times New Roman"/>
                <w:color w:val="auto"/>
                <w:highlight w:val="none"/>
                <w:lang w:val="en-US" w:eastAsia="zh-CN"/>
              </w:rPr>
              <w:t>海天广场</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西北侧44</w:t>
            </w:r>
            <w:r>
              <w:rPr>
                <w:rFonts w:hint="default" w:ascii="Times New Roman" w:hAnsi="Times New Roman" w:cs="Times New Roman"/>
                <w:color w:val="auto"/>
                <w:highlight w:val="none"/>
              </w:rPr>
              <w:t>m）位于当地常年主导风向</w:t>
            </w:r>
            <w:r>
              <w:rPr>
                <w:rFonts w:hint="default" w:ascii="Times New Roman" w:hAnsi="Times New Roman" w:cs="Times New Roman"/>
                <w:color w:val="auto"/>
                <w:highlight w:val="none"/>
                <w:lang w:val="en-US" w:eastAsia="zh-CN"/>
              </w:rPr>
              <w:t>上风向。本项目的建设未增加现有合成革规模，通过DMF废液回收利用提升企业清洁生产水平，对DMF、非甲烷总烃等大气污染物均有削减作用，降低了污染物的排放，能够减轻对环境和敏感目标的影响。</w:t>
            </w:r>
            <w:r>
              <w:rPr>
                <w:rFonts w:hint="default" w:ascii="Times New Roman" w:hAnsi="Times New Roman" w:cs="Times New Roman"/>
                <w:color w:val="auto"/>
                <w:kern w:val="0"/>
                <w:sz w:val="24"/>
                <w:szCs w:val="20"/>
                <w:highlight w:val="none"/>
                <w:lang w:bidi="ar"/>
              </w:rPr>
              <w:t>因此，从大气环境影响角度看，</w:t>
            </w:r>
            <w:r>
              <w:rPr>
                <w:rFonts w:hint="default" w:ascii="Times New Roman" w:hAnsi="Times New Roman" w:cs="Times New Roman"/>
                <w:color w:val="auto"/>
                <w:kern w:val="0"/>
                <w:sz w:val="24"/>
                <w:szCs w:val="20"/>
                <w:highlight w:val="none"/>
                <w:lang w:val="en-US" w:eastAsia="zh-CN" w:bidi="ar"/>
              </w:rPr>
              <w:t>DMF回收尾气采取的措施可行，</w:t>
            </w:r>
            <w:r>
              <w:rPr>
                <w:rFonts w:hint="default" w:ascii="Times New Roman" w:hAnsi="Times New Roman" w:cs="Times New Roman"/>
                <w:color w:val="auto"/>
                <w:kern w:val="0"/>
                <w:sz w:val="24"/>
                <w:szCs w:val="20"/>
                <w:highlight w:val="none"/>
                <w:lang w:bidi="ar"/>
              </w:rPr>
              <w:t>对周边的影响在可接受范围内。</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监测计划</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根据《排污单位自行监测技术指南橡胶和塑料制品》（HJ 1207—2021）、《排污许可证申请与核发技术规范 工业固体废物和危险废物治理》（HJ1033-2019）、《排污单位自行监测技术指南总则》（HJ819-2017）及建设单位自身情况，废气污染源制定监测计划，本项目废气污染源监测计划如下表所示。</w:t>
            </w:r>
          </w:p>
          <w:p>
            <w:pPr>
              <w:pStyle w:val="1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废气污染源监测计划</w:t>
            </w:r>
          </w:p>
          <w:tbl>
            <w:tblPr>
              <w:tblStyle w:val="11"/>
              <w:tblW w:w="8407" w:type="dxa"/>
              <w:tblInd w:w="0" w:type="dxa"/>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Layout w:type="fixed"/>
              <w:tblCellMar>
                <w:top w:w="15" w:type="dxa"/>
                <w:left w:w="15" w:type="dxa"/>
                <w:bottom w:w="15" w:type="dxa"/>
                <w:right w:w="15" w:type="dxa"/>
              </w:tblCellMar>
            </w:tblPr>
            <w:tblGrid>
              <w:gridCol w:w="1134"/>
              <w:gridCol w:w="1134"/>
              <w:gridCol w:w="5116"/>
              <w:gridCol w:w="1023"/>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340" w:hRule="atLeast"/>
              </w:trPr>
              <w:tc>
                <w:tcPr>
                  <w:tcW w:w="113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监测点位</w:t>
                  </w:r>
                </w:p>
              </w:tc>
              <w:tc>
                <w:tcPr>
                  <w:tcW w:w="113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监测项目</w:t>
                  </w:r>
                </w:p>
              </w:tc>
              <w:tc>
                <w:tcPr>
                  <w:tcW w:w="511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执行标准</w:t>
                  </w:r>
                </w:p>
              </w:tc>
              <w:tc>
                <w:tcPr>
                  <w:tcW w:w="10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监测频率</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11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DA002</w:t>
                  </w:r>
                </w:p>
              </w:tc>
              <w:tc>
                <w:tcPr>
                  <w:tcW w:w="113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DMF</w:t>
                  </w:r>
                </w:p>
              </w:tc>
              <w:tc>
                <w:tcPr>
                  <w:tcW w:w="511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《工业企业挥发性有机物排放标准》（DB35/1782-2018</w:t>
                  </w:r>
                  <w:r>
                    <w:rPr>
                      <w:rFonts w:hint="default" w:ascii="Times New Roman" w:hAnsi="Times New Roman" w:cs="Times New Roman"/>
                      <w:color w:val="auto"/>
                      <w:sz w:val="21"/>
                      <w:szCs w:val="21"/>
                      <w:highlight w:val="none"/>
                      <w:lang w:val="en-US" w:eastAsia="zh-CN" w:bidi="ar"/>
                    </w:rPr>
                    <w:t>）表</w:t>
                  </w:r>
                  <w:r>
                    <w:rPr>
                      <w:rFonts w:hint="default" w:ascii="Times New Roman" w:hAnsi="Times New Roman" w:eastAsia="宋体" w:cs="Times New Roman"/>
                      <w:color w:val="auto"/>
                      <w:sz w:val="21"/>
                      <w:szCs w:val="21"/>
                      <w:highlight w:val="none"/>
                      <w:lang w:val="en-US" w:eastAsia="zh-CN" w:bidi="ar"/>
                    </w:rPr>
                    <w:t>1</w:t>
                  </w:r>
                  <w:r>
                    <w:rPr>
                      <w:rFonts w:hint="default" w:ascii="Times New Roman" w:hAnsi="Times New Roman" w:cs="Times New Roman"/>
                      <w:color w:val="auto"/>
                      <w:sz w:val="21"/>
                      <w:szCs w:val="21"/>
                      <w:highlight w:val="none"/>
                      <w:lang w:val="en-US" w:eastAsia="zh-CN" w:bidi="ar"/>
                    </w:rPr>
                    <w:t>、表</w:t>
                  </w:r>
                  <w:r>
                    <w:rPr>
                      <w:rFonts w:hint="default" w:ascii="Times New Roman" w:hAnsi="Times New Roman" w:eastAsia="宋体" w:cs="Times New Roman"/>
                      <w:color w:val="auto"/>
                      <w:sz w:val="21"/>
                      <w:szCs w:val="21"/>
                      <w:highlight w:val="none"/>
                      <w:lang w:val="en-US" w:eastAsia="zh-CN" w:bidi="ar"/>
                    </w:rPr>
                    <w:t>3</w:t>
                  </w:r>
                  <w:r>
                    <w:rPr>
                      <w:rFonts w:hint="default" w:ascii="Times New Roman" w:hAnsi="Times New Roman" w:cs="Times New Roman"/>
                      <w:color w:val="auto"/>
                      <w:sz w:val="21"/>
                      <w:szCs w:val="21"/>
                      <w:highlight w:val="none"/>
                      <w:lang w:val="en-US" w:eastAsia="zh-CN" w:bidi="ar"/>
                    </w:rPr>
                    <w:t>排放标准限值要求</w:t>
                  </w:r>
                </w:p>
              </w:tc>
              <w:tc>
                <w:tcPr>
                  <w:tcW w:w="102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r>
                    <w:rPr>
                      <w:rFonts w:hint="default" w:ascii="Times New Roman" w:hAnsi="Times New Roman" w:cs="Times New Roman"/>
                      <w:color w:val="auto"/>
                      <w:sz w:val="21"/>
                      <w:szCs w:val="21"/>
                      <w:highlight w:val="none"/>
                      <w:lang w:val="en-US" w:eastAsia="zh-CN" w:bidi="ar"/>
                    </w:rPr>
                    <w:t>次</w:t>
                  </w:r>
                  <w:r>
                    <w:rPr>
                      <w:rFonts w:hint="default" w:ascii="Times New Roman" w:hAnsi="Times New Roman" w:eastAsia="宋体" w:cs="Times New Roman"/>
                      <w:color w:val="auto"/>
                      <w:sz w:val="21"/>
                      <w:szCs w:val="21"/>
                      <w:highlight w:val="none"/>
                      <w:lang w:val="en-US" w:eastAsia="zh-CN" w:bidi="ar"/>
                    </w:rPr>
                    <w:t>/</w:t>
                  </w:r>
                  <w:r>
                    <w:rPr>
                      <w:rFonts w:hint="default" w:ascii="Times New Roman" w:hAnsi="Times New Roman" w:cs="Times New Roman"/>
                      <w:color w:val="auto"/>
                      <w:sz w:val="21"/>
                      <w:szCs w:val="21"/>
                      <w:highlight w:val="none"/>
                      <w:lang w:val="en-US" w:eastAsia="zh-CN" w:bidi="ar"/>
                    </w:rPr>
                    <w:t>半年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340" w:hRule="atLeast"/>
              </w:trPr>
              <w:tc>
                <w:tcPr>
                  <w:tcW w:w="11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auto"/>
                      <w:sz w:val="21"/>
                      <w:szCs w:val="21"/>
                      <w:highlight w:val="none"/>
                      <w:u w:val="none"/>
                    </w:rPr>
                  </w:pPr>
                </w:p>
              </w:tc>
              <w:tc>
                <w:tcPr>
                  <w:tcW w:w="113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非甲烷总烃</w:t>
                  </w:r>
                </w:p>
              </w:tc>
              <w:tc>
                <w:tcPr>
                  <w:tcW w:w="511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auto"/>
                      <w:sz w:val="21"/>
                      <w:szCs w:val="21"/>
                      <w:highlight w:val="none"/>
                      <w:u w:val="none"/>
                    </w:rPr>
                  </w:pPr>
                </w:p>
              </w:tc>
              <w:tc>
                <w:tcPr>
                  <w:tcW w:w="102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340" w:hRule="atLeast"/>
              </w:trPr>
              <w:tc>
                <w:tcPr>
                  <w:tcW w:w="11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auto"/>
                      <w:sz w:val="21"/>
                      <w:szCs w:val="21"/>
                      <w:highlight w:val="none"/>
                      <w:u w:val="none"/>
                    </w:rPr>
                  </w:pPr>
                </w:p>
              </w:tc>
              <w:tc>
                <w:tcPr>
                  <w:tcW w:w="113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臭气浓度</w:t>
                  </w:r>
                </w:p>
              </w:tc>
              <w:tc>
                <w:tcPr>
                  <w:tcW w:w="5116" w:type="dxa"/>
                  <w:tcBorders>
                    <w:tl2br w:val="nil"/>
                    <w:tr2bl w:val="nil"/>
                  </w:tcBorders>
                  <w:shd w:val="clear" w:color="auto" w:fill="auto"/>
                  <w:vAlign w:val="center"/>
                </w:tcPr>
                <w:p>
                  <w:pPr>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《恶臭污染物排放标准》（GB14554-93</w:t>
                  </w:r>
                  <w:r>
                    <w:rPr>
                      <w:rFonts w:hint="default" w:ascii="Times New Roman" w:hAnsi="Times New Roman" w:cs="Times New Roman"/>
                      <w:color w:val="auto"/>
                      <w:sz w:val="21"/>
                      <w:szCs w:val="21"/>
                      <w:highlight w:val="none"/>
                      <w:lang w:val="en-US" w:eastAsia="zh-CN" w:bidi="ar"/>
                    </w:rPr>
                    <w:t>）表2标准限值</w:t>
                  </w:r>
                </w:p>
              </w:tc>
              <w:tc>
                <w:tcPr>
                  <w:tcW w:w="102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340" w:hRule="atLeast"/>
              </w:trPr>
              <w:tc>
                <w:tcPr>
                  <w:tcW w:w="11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DA003</w:t>
                  </w:r>
                </w:p>
              </w:tc>
              <w:tc>
                <w:tcPr>
                  <w:tcW w:w="113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DMF</w:t>
                  </w:r>
                </w:p>
              </w:tc>
              <w:tc>
                <w:tcPr>
                  <w:tcW w:w="511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《工业企业挥发性有机物排放标准》（DB35/1782-2018</w:t>
                  </w:r>
                  <w:r>
                    <w:rPr>
                      <w:rFonts w:hint="default" w:ascii="Times New Roman" w:hAnsi="Times New Roman" w:cs="Times New Roman"/>
                      <w:color w:val="auto"/>
                      <w:sz w:val="21"/>
                      <w:szCs w:val="21"/>
                      <w:highlight w:val="none"/>
                      <w:lang w:val="en-US" w:eastAsia="zh-CN" w:bidi="ar"/>
                    </w:rPr>
                    <w:t>）表</w:t>
                  </w:r>
                  <w:r>
                    <w:rPr>
                      <w:rFonts w:hint="default" w:ascii="Times New Roman" w:hAnsi="Times New Roman" w:eastAsia="宋体" w:cs="Times New Roman"/>
                      <w:color w:val="auto"/>
                      <w:sz w:val="21"/>
                      <w:szCs w:val="21"/>
                      <w:highlight w:val="none"/>
                      <w:lang w:val="en-US" w:eastAsia="zh-CN" w:bidi="ar"/>
                    </w:rPr>
                    <w:t>1</w:t>
                  </w:r>
                  <w:r>
                    <w:rPr>
                      <w:rFonts w:hint="default" w:ascii="Times New Roman" w:hAnsi="Times New Roman" w:cs="Times New Roman"/>
                      <w:color w:val="auto"/>
                      <w:sz w:val="21"/>
                      <w:szCs w:val="21"/>
                      <w:highlight w:val="none"/>
                      <w:lang w:val="en-US" w:eastAsia="zh-CN" w:bidi="ar"/>
                    </w:rPr>
                    <w:t>、表</w:t>
                  </w:r>
                  <w:r>
                    <w:rPr>
                      <w:rFonts w:hint="default" w:ascii="Times New Roman" w:hAnsi="Times New Roman" w:eastAsia="宋体" w:cs="Times New Roman"/>
                      <w:color w:val="auto"/>
                      <w:sz w:val="21"/>
                      <w:szCs w:val="21"/>
                      <w:highlight w:val="none"/>
                      <w:lang w:val="en-US" w:eastAsia="zh-CN" w:bidi="ar"/>
                    </w:rPr>
                    <w:t>3</w:t>
                  </w:r>
                  <w:r>
                    <w:rPr>
                      <w:rFonts w:hint="default" w:ascii="Times New Roman" w:hAnsi="Times New Roman" w:cs="Times New Roman"/>
                      <w:color w:val="auto"/>
                      <w:sz w:val="21"/>
                      <w:szCs w:val="21"/>
                      <w:highlight w:val="none"/>
                      <w:lang w:val="en-US" w:eastAsia="zh-CN" w:bidi="ar"/>
                    </w:rPr>
                    <w:t>排放标准限值要求</w:t>
                  </w:r>
                </w:p>
              </w:tc>
              <w:tc>
                <w:tcPr>
                  <w:tcW w:w="102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1</w:t>
                  </w:r>
                  <w:r>
                    <w:rPr>
                      <w:rFonts w:hint="default" w:ascii="Times New Roman" w:hAnsi="Times New Roman" w:cs="Times New Roman"/>
                      <w:color w:val="auto"/>
                      <w:sz w:val="21"/>
                      <w:szCs w:val="21"/>
                      <w:highlight w:val="none"/>
                      <w:lang w:val="en-US" w:eastAsia="zh-CN" w:bidi="ar"/>
                    </w:rPr>
                    <w:t>次</w:t>
                  </w:r>
                  <w:r>
                    <w:rPr>
                      <w:rFonts w:hint="default" w:ascii="Times New Roman" w:hAnsi="Times New Roman" w:eastAsia="宋体" w:cs="Times New Roman"/>
                      <w:color w:val="auto"/>
                      <w:sz w:val="21"/>
                      <w:szCs w:val="21"/>
                      <w:highlight w:val="none"/>
                      <w:lang w:val="en-US" w:eastAsia="zh-CN" w:bidi="ar"/>
                    </w:rPr>
                    <w:t>/</w:t>
                  </w:r>
                  <w:r>
                    <w:rPr>
                      <w:rFonts w:hint="default" w:ascii="Times New Roman" w:hAnsi="Times New Roman" w:cs="Times New Roman"/>
                      <w:color w:val="auto"/>
                      <w:sz w:val="21"/>
                      <w:szCs w:val="21"/>
                      <w:highlight w:val="none"/>
                      <w:lang w:val="en-US" w:eastAsia="zh-CN" w:bidi="ar"/>
                    </w:rPr>
                    <w:t>半年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340" w:hRule="atLeast"/>
              </w:trPr>
              <w:tc>
                <w:tcPr>
                  <w:tcW w:w="11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auto"/>
                      <w:sz w:val="21"/>
                      <w:szCs w:val="21"/>
                      <w:highlight w:val="none"/>
                      <w:u w:val="none"/>
                    </w:rPr>
                  </w:pPr>
                </w:p>
              </w:tc>
              <w:tc>
                <w:tcPr>
                  <w:tcW w:w="113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非甲烷总烃</w:t>
                  </w:r>
                </w:p>
              </w:tc>
              <w:tc>
                <w:tcPr>
                  <w:tcW w:w="511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auto"/>
                      <w:sz w:val="21"/>
                      <w:szCs w:val="21"/>
                      <w:highlight w:val="none"/>
                      <w:u w:val="none"/>
                    </w:rPr>
                  </w:pPr>
                </w:p>
              </w:tc>
              <w:tc>
                <w:tcPr>
                  <w:tcW w:w="102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340" w:hRule="atLeast"/>
              </w:trPr>
              <w:tc>
                <w:tcPr>
                  <w:tcW w:w="11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auto"/>
                      <w:sz w:val="21"/>
                      <w:szCs w:val="21"/>
                      <w:highlight w:val="none"/>
                      <w:u w:val="none"/>
                    </w:rPr>
                  </w:pPr>
                </w:p>
              </w:tc>
              <w:tc>
                <w:tcPr>
                  <w:tcW w:w="113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臭气浓度</w:t>
                  </w:r>
                </w:p>
              </w:tc>
              <w:tc>
                <w:tcPr>
                  <w:tcW w:w="5116" w:type="dxa"/>
                  <w:tcBorders>
                    <w:tl2br w:val="nil"/>
                    <w:tr2bl w:val="nil"/>
                  </w:tcBorders>
                  <w:shd w:val="clear" w:color="auto" w:fill="auto"/>
                  <w:vAlign w:val="center"/>
                </w:tcPr>
                <w:p>
                  <w:pPr>
                    <w:jc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《恶臭污染物排放标准》（GB14554-93</w:t>
                  </w:r>
                  <w:r>
                    <w:rPr>
                      <w:rFonts w:hint="default" w:ascii="Times New Roman" w:hAnsi="Times New Roman" w:cs="Times New Roman"/>
                      <w:color w:val="auto"/>
                      <w:sz w:val="21"/>
                      <w:szCs w:val="21"/>
                      <w:highlight w:val="none"/>
                      <w:lang w:val="en-US" w:eastAsia="zh-CN" w:bidi="ar"/>
                    </w:rPr>
                    <w:t>）表2标准限值</w:t>
                  </w:r>
                </w:p>
              </w:tc>
              <w:tc>
                <w:tcPr>
                  <w:tcW w:w="102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340" w:hRule="atLeast"/>
              </w:trPr>
              <w:tc>
                <w:tcPr>
                  <w:tcW w:w="1134"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厂界四周无组织废气</w:t>
                  </w:r>
                </w:p>
              </w:tc>
              <w:tc>
                <w:tcPr>
                  <w:tcW w:w="113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DMF</w:t>
                  </w:r>
                </w:p>
              </w:tc>
              <w:tc>
                <w:tcPr>
                  <w:tcW w:w="511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《工业企业挥发性有机物排放标准》（DB35/1782-2018</w:t>
                  </w:r>
                  <w:r>
                    <w:rPr>
                      <w:rFonts w:hint="default" w:ascii="Times New Roman" w:hAnsi="Times New Roman" w:cs="Times New Roman"/>
                      <w:color w:val="auto"/>
                      <w:sz w:val="21"/>
                      <w:szCs w:val="21"/>
                      <w:highlight w:val="none"/>
                      <w:lang w:val="en-US" w:eastAsia="zh-CN" w:bidi="ar"/>
                    </w:rPr>
                    <w:t>）表</w:t>
                  </w:r>
                  <w:r>
                    <w:rPr>
                      <w:rFonts w:hint="default" w:ascii="Times New Roman" w:hAnsi="Times New Roman" w:eastAsia="宋体" w:cs="Times New Roman"/>
                      <w:color w:val="auto"/>
                      <w:sz w:val="21"/>
                      <w:szCs w:val="21"/>
                      <w:highlight w:val="none"/>
                      <w:lang w:val="en-US" w:eastAsia="zh-CN" w:bidi="ar"/>
                    </w:rPr>
                    <w:t>1</w:t>
                  </w:r>
                  <w:r>
                    <w:rPr>
                      <w:rFonts w:hint="default" w:ascii="Times New Roman" w:hAnsi="Times New Roman" w:cs="Times New Roman"/>
                      <w:color w:val="auto"/>
                      <w:sz w:val="21"/>
                      <w:szCs w:val="21"/>
                      <w:highlight w:val="none"/>
                      <w:lang w:val="en-US" w:eastAsia="zh-CN" w:bidi="ar"/>
                    </w:rPr>
                    <w:t>、表</w:t>
                  </w:r>
                  <w:r>
                    <w:rPr>
                      <w:rFonts w:hint="default" w:ascii="Times New Roman" w:hAnsi="Times New Roman" w:eastAsia="宋体" w:cs="Times New Roman"/>
                      <w:color w:val="auto"/>
                      <w:sz w:val="21"/>
                      <w:szCs w:val="21"/>
                      <w:highlight w:val="none"/>
                      <w:lang w:val="en-US" w:eastAsia="zh-CN" w:bidi="ar"/>
                    </w:rPr>
                    <w:t>3</w:t>
                  </w:r>
                  <w:r>
                    <w:rPr>
                      <w:rFonts w:hint="default" w:ascii="Times New Roman" w:hAnsi="Times New Roman" w:cs="Times New Roman"/>
                      <w:color w:val="auto"/>
                      <w:sz w:val="21"/>
                      <w:szCs w:val="21"/>
                      <w:highlight w:val="none"/>
                      <w:lang w:val="en-US" w:eastAsia="zh-CN" w:bidi="ar"/>
                    </w:rPr>
                    <w:t>排放标准限值要求</w:t>
                  </w:r>
                </w:p>
              </w:tc>
              <w:tc>
                <w:tcPr>
                  <w:tcW w:w="1023"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r>
                    <w:rPr>
                      <w:rFonts w:hint="default" w:ascii="Times New Roman" w:hAnsi="Times New Roman" w:cs="Times New Roman"/>
                      <w:color w:val="auto"/>
                      <w:sz w:val="21"/>
                      <w:szCs w:val="21"/>
                      <w:highlight w:val="none"/>
                      <w:lang w:val="en-US" w:eastAsia="zh-CN" w:bidi="ar"/>
                    </w:rPr>
                    <w:t>次</w:t>
                  </w:r>
                  <w:r>
                    <w:rPr>
                      <w:rFonts w:hint="default" w:ascii="Times New Roman" w:hAnsi="Times New Roman" w:eastAsia="宋体" w:cs="Times New Roman"/>
                      <w:color w:val="auto"/>
                      <w:sz w:val="21"/>
                      <w:szCs w:val="21"/>
                      <w:highlight w:val="none"/>
                      <w:lang w:val="en-US" w:eastAsia="zh-CN" w:bidi="ar"/>
                    </w:rPr>
                    <w:t>/</w:t>
                  </w:r>
                  <w:r>
                    <w:rPr>
                      <w:rFonts w:hint="default" w:ascii="Times New Roman" w:hAnsi="Times New Roman" w:cs="Times New Roman"/>
                      <w:color w:val="auto"/>
                      <w:sz w:val="21"/>
                      <w:szCs w:val="21"/>
                      <w:highlight w:val="none"/>
                      <w:lang w:val="en-US" w:eastAsia="zh-CN" w:bidi="ar"/>
                    </w:rPr>
                    <w:t>半年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340" w:hRule="atLeast"/>
              </w:trPr>
              <w:tc>
                <w:tcPr>
                  <w:tcW w:w="11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auto"/>
                      <w:sz w:val="21"/>
                      <w:szCs w:val="21"/>
                      <w:highlight w:val="none"/>
                      <w:u w:val="none"/>
                    </w:rPr>
                  </w:pPr>
                </w:p>
              </w:tc>
              <w:tc>
                <w:tcPr>
                  <w:tcW w:w="113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非甲烷总烃</w:t>
                  </w:r>
                </w:p>
              </w:tc>
              <w:tc>
                <w:tcPr>
                  <w:tcW w:w="511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auto"/>
                      <w:sz w:val="21"/>
                      <w:szCs w:val="21"/>
                      <w:highlight w:val="none"/>
                      <w:u w:val="none"/>
                    </w:rPr>
                  </w:pPr>
                </w:p>
              </w:tc>
              <w:tc>
                <w:tcPr>
                  <w:tcW w:w="102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340" w:hRule="atLeast"/>
              </w:trPr>
              <w:tc>
                <w:tcPr>
                  <w:tcW w:w="1134"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auto"/>
                      <w:sz w:val="21"/>
                      <w:szCs w:val="21"/>
                      <w:highlight w:val="none"/>
                      <w:u w:val="none"/>
                    </w:rPr>
                  </w:pPr>
                </w:p>
              </w:tc>
              <w:tc>
                <w:tcPr>
                  <w:tcW w:w="113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臭气浓度</w:t>
                  </w:r>
                </w:p>
              </w:tc>
              <w:tc>
                <w:tcPr>
                  <w:tcW w:w="511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《恶臭污染物排放标准》（GB14554-93</w:t>
                  </w:r>
                  <w:r>
                    <w:rPr>
                      <w:rFonts w:hint="default" w:ascii="Times New Roman" w:hAnsi="Times New Roman" w:cs="Times New Roman"/>
                      <w:color w:val="auto"/>
                      <w:sz w:val="21"/>
                      <w:szCs w:val="21"/>
                      <w:highlight w:val="none"/>
                      <w:lang w:val="en-US" w:eastAsia="zh-CN" w:bidi="ar"/>
                    </w:rPr>
                    <w:t>）表2标准限值</w:t>
                  </w:r>
                </w:p>
              </w:tc>
              <w:tc>
                <w:tcPr>
                  <w:tcW w:w="1023"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340" w:hRule="atLeast"/>
              </w:trPr>
              <w:tc>
                <w:tcPr>
                  <w:tcW w:w="113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厂区内无组织废气</w:t>
                  </w:r>
                </w:p>
              </w:tc>
              <w:tc>
                <w:tcPr>
                  <w:tcW w:w="113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非甲烷总烃</w:t>
                  </w:r>
                </w:p>
              </w:tc>
              <w:tc>
                <w:tcPr>
                  <w:tcW w:w="511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执行《工业企业挥发性有机物排放标准》（DB35/1782-2018</w:t>
                  </w:r>
                  <w:r>
                    <w:rPr>
                      <w:rFonts w:hint="default" w:ascii="Times New Roman" w:hAnsi="Times New Roman" w:cs="Times New Roman"/>
                      <w:color w:val="auto"/>
                      <w:sz w:val="21"/>
                      <w:szCs w:val="21"/>
                      <w:highlight w:val="none"/>
                      <w:lang w:val="en-US" w:eastAsia="zh-CN" w:bidi="ar"/>
                    </w:rPr>
                    <w:t>）表</w:t>
                  </w:r>
                  <w:r>
                    <w:rPr>
                      <w:rFonts w:hint="default" w:ascii="Times New Roman" w:hAnsi="Times New Roman" w:eastAsia="宋体" w:cs="Times New Roman"/>
                      <w:color w:val="auto"/>
                      <w:sz w:val="21"/>
                      <w:szCs w:val="21"/>
                      <w:highlight w:val="none"/>
                      <w:lang w:val="en-US" w:eastAsia="zh-CN" w:bidi="ar"/>
                    </w:rPr>
                    <w:t>2</w:t>
                  </w:r>
                  <w:r>
                    <w:rPr>
                      <w:rFonts w:hint="default" w:ascii="Times New Roman" w:hAnsi="Times New Roman" w:cs="Times New Roman"/>
                      <w:color w:val="auto"/>
                      <w:sz w:val="21"/>
                      <w:szCs w:val="21"/>
                      <w:highlight w:val="none"/>
                      <w:lang w:val="en-US" w:eastAsia="zh-CN" w:bidi="ar"/>
                    </w:rPr>
                    <w:t>标准限值，监控点任意一次浓度值执行《挥发性有机物无组织排放控制标准》（</w:t>
                  </w:r>
                  <w:r>
                    <w:rPr>
                      <w:rFonts w:hint="default" w:ascii="Times New Roman" w:hAnsi="Times New Roman" w:eastAsia="宋体" w:cs="Times New Roman"/>
                      <w:color w:val="auto"/>
                      <w:sz w:val="21"/>
                      <w:szCs w:val="21"/>
                      <w:highlight w:val="none"/>
                      <w:lang w:val="en-US" w:eastAsia="zh-CN" w:bidi="ar"/>
                    </w:rPr>
                    <w:t>GB37822-2019</w:t>
                  </w:r>
                  <w:r>
                    <w:rPr>
                      <w:rFonts w:hint="default" w:ascii="Times New Roman" w:hAnsi="Times New Roman" w:cs="Times New Roman"/>
                      <w:color w:val="auto"/>
                      <w:sz w:val="21"/>
                      <w:szCs w:val="21"/>
                      <w:highlight w:val="none"/>
                      <w:lang w:val="en-US" w:eastAsia="zh-CN" w:bidi="ar"/>
                    </w:rPr>
                    <w:t>）的附录</w:t>
                  </w:r>
                  <w:r>
                    <w:rPr>
                      <w:rFonts w:hint="default" w:ascii="Times New Roman" w:hAnsi="Times New Roman" w:eastAsia="宋体" w:cs="Times New Roman"/>
                      <w:color w:val="auto"/>
                      <w:sz w:val="21"/>
                      <w:szCs w:val="21"/>
                      <w:highlight w:val="none"/>
                      <w:lang w:val="en-US" w:eastAsia="zh-CN" w:bidi="ar"/>
                    </w:rPr>
                    <w:t>A</w:t>
                  </w:r>
                  <w:r>
                    <w:rPr>
                      <w:rFonts w:hint="default" w:ascii="Times New Roman" w:hAnsi="Times New Roman" w:cs="Times New Roman"/>
                      <w:color w:val="auto"/>
                      <w:sz w:val="21"/>
                      <w:szCs w:val="21"/>
                      <w:highlight w:val="none"/>
                      <w:lang w:val="en-US" w:eastAsia="zh-CN" w:bidi="ar"/>
                    </w:rPr>
                    <w:t>的表</w:t>
                  </w:r>
                  <w:r>
                    <w:rPr>
                      <w:rFonts w:hint="default" w:ascii="Times New Roman" w:hAnsi="Times New Roman" w:eastAsia="宋体" w:cs="Times New Roman"/>
                      <w:color w:val="auto"/>
                      <w:sz w:val="21"/>
                      <w:szCs w:val="21"/>
                      <w:highlight w:val="none"/>
                      <w:lang w:val="en-US" w:eastAsia="zh-CN" w:bidi="ar"/>
                    </w:rPr>
                    <w:t>A.1</w:t>
                  </w:r>
                  <w:r>
                    <w:rPr>
                      <w:rFonts w:hint="default" w:ascii="Times New Roman" w:hAnsi="Times New Roman" w:cs="Times New Roman"/>
                      <w:color w:val="auto"/>
                      <w:sz w:val="21"/>
                      <w:szCs w:val="21"/>
                      <w:highlight w:val="none"/>
                      <w:lang w:val="en-US" w:eastAsia="zh-CN" w:bidi="ar"/>
                    </w:rPr>
                    <w:t>的相应规定</w:t>
                  </w:r>
                </w:p>
              </w:tc>
              <w:tc>
                <w:tcPr>
                  <w:tcW w:w="10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r>
                    <w:rPr>
                      <w:rFonts w:hint="default" w:ascii="Times New Roman" w:hAnsi="Times New Roman" w:cs="Times New Roman"/>
                      <w:color w:val="auto"/>
                      <w:sz w:val="21"/>
                      <w:szCs w:val="21"/>
                      <w:highlight w:val="none"/>
                      <w:lang w:val="en-US" w:eastAsia="zh-CN" w:bidi="ar"/>
                    </w:rPr>
                    <w:t>次</w:t>
                  </w:r>
                  <w:r>
                    <w:rPr>
                      <w:rFonts w:hint="default" w:ascii="Times New Roman" w:hAnsi="Times New Roman" w:eastAsia="宋体" w:cs="Times New Roman"/>
                      <w:color w:val="auto"/>
                      <w:sz w:val="21"/>
                      <w:szCs w:val="21"/>
                      <w:highlight w:val="none"/>
                      <w:lang w:val="en-US" w:eastAsia="zh-CN" w:bidi="ar"/>
                    </w:rPr>
                    <w:t>/</w:t>
                  </w:r>
                  <w:r>
                    <w:rPr>
                      <w:rFonts w:hint="default" w:ascii="Times New Roman" w:hAnsi="Times New Roman" w:cs="Times New Roman"/>
                      <w:color w:val="auto"/>
                      <w:sz w:val="21"/>
                      <w:szCs w:val="21"/>
                      <w:highlight w:val="none"/>
                      <w:lang w:val="en-US" w:eastAsia="zh-CN" w:bidi="ar"/>
                    </w:rPr>
                    <w:t>半年</w:t>
                  </w:r>
                </w:p>
              </w:tc>
            </w:tr>
          </w:tbl>
          <w:p>
            <w:pPr>
              <w:pStyle w:val="16"/>
              <w:rPr>
                <w:rFonts w:hint="default" w:ascii="Times New Roman" w:hAnsi="Times New Roman" w:cs="Times New Roman"/>
                <w:color w:val="auto"/>
                <w:highlight w:val="none"/>
                <w:lang w:val="en-US" w:eastAsia="zh-CN"/>
              </w:rPr>
            </w:pPr>
          </w:p>
          <w:p>
            <w:pPr>
              <w:pStyle w:val="2"/>
              <w:numPr>
                <w:ilvl w:val="1"/>
                <w:numId w:val="9"/>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废水</w:t>
            </w:r>
          </w:p>
          <w:p>
            <w:pPr>
              <w:pStyle w:val="5"/>
              <w:numPr>
                <w:ilvl w:val="0"/>
                <w:numId w:val="0"/>
              </w:numPr>
              <w:ind w:left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废水污染源强</w:t>
            </w:r>
            <w:r>
              <w:rPr>
                <w:rFonts w:hint="default" w:ascii="Times New Roman" w:hAnsi="Times New Roman" w:cs="Times New Roman"/>
                <w:color w:val="auto"/>
                <w:highlight w:val="none"/>
                <w:lang w:val="en-US" w:eastAsia="zh-CN"/>
              </w:rPr>
              <w:t>及影响</w:t>
            </w:r>
            <w:r>
              <w:rPr>
                <w:rFonts w:hint="default" w:ascii="Times New Roman" w:hAnsi="Times New Roman" w:cs="Times New Roman"/>
                <w:color w:val="auto"/>
                <w:highlight w:val="none"/>
              </w:rPr>
              <w:t>分析</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szCs w:val="21"/>
                <w:highlight w:val="none"/>
                <w:lang w:val="en-US" w:eastAsia="zh-CN"/>
              </w:rPr>
              <w:t>本项目水平衡以</w:t>
            </w:r>
            <w:r>
              <w:rPr>
                <w:rFonts w:hint="default" w:ascii="Times New Roman" w:hAnsi="Times New Roman" w:cs="Times New Roman"/>
                <w:color w:val="auto"/>
                <w:highlight w:val="none"/>
                <w:lang w:val="en-US" w:eastAsia="zh-CN"/>
              </w:rPr>
              <w:t>现有工程DMF废液产生量8251.2t/a分析，废水污染物产生源强情况按备案处理规模8300t/a折算，冷凝水产生量</w:t>
            </w:r>
            <w:r>
              <w:rPr>
                <w:rFonts w:hint="eastAsia" w:ascii="Times New Roman" w:hAnsi="Times New Roman" w:cs="Times New Roman"/>
                <w:color w:val="auto"/>
                <w:highlight w:val="none"/>
                <w:lang w:val="en-US" w:eastAsia="zh-CN"/>
              </w:rPr>
              <w:t>约</w:t>
            </w:r>
            <w:r>
              <w:rPr>
                <w:rFonts w:hint="default" w:ascii="Times New Roman" w:hAnsi="Times New Roman" w:cs="Times New Roman"/>
                <w:color w:val="auto"/>
                <w:highlight w:val="none"/>
                <w:lang w:val="en-US" w:eastAsia="zh-CN"/>
              </w:rPr>
              <w:t>为7329.536t/a，主要污染物为COD、DMF，DMF≤0.5%（本评价以0.5%计），收集暂存至回用水储罐后回用于喷淋塔，不外排。</w:t>
            </w:r>
            <w:bookmarkStart w:id="14" w:name="_Ref24577"/>
            <w:r>
              <w:rPr>
                <w:rFonts w:hint="default" w:ascii="Times New Roman" w:hAnsi="Times New Roman" w:cs="Times New Roman"/>
                <w:color w:val="auto"/>
                <w:highlight w:val="none"/>
                <w:lang w:val="en-US" w:eastAsia="zh-CN"/>
              </w:rPr>
              <w:t>因此本项目产生的冷凝水对周边环境的影响很小。</w:t>
            </w:r>
          </w:p>
          <w:bookmarkEnd w:id="14"/>
          <w:p>
            <w:pPr>
              <w:pStyle w:val="15"/>
              <w:numPr>
                <w:ilvl w:val="7"/>
                <w:numId w:val="9"/>
              </w:numPr>
              <w:rPr>
                <w:rFonts w:hint="default" w:ascii="Times New Roman" w:hAnsi="Times New Roman" w:cs="Times New Roman"/>
                <w:color w:val="auto"/>
                <w:highlight w:val="none"/>
              </w:rPr>
            </w:pPr>
            <w:bookmarkStart w:id="15" w:name="_Ref27296"/>
            <w:r>
              <w:rPr>
                <w:rFonts w:hint="default" w:ascii="Times New Roman" w:hAnsi="Times New Roman" w:cs="Times New Roman"/>
                <w:color w:val="auto"/>
                <w:highlight w:val="none"/>
              </w:rPr>
              <w:t>项目废水源核算一览表</w:t>
            </w:r>
            <w:bookmarkEnd w:id="15"/>
          </w:p>
          <w:tbl>
            <w:tblPr>
              <w:tblStyle w:val="11"/>
              <w:tblW w:w="8496"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10"/>
              <w:gridCol w:w="1458"/>
              <w:gridCol w:w="836"/>
              <w:gridCol w:w="1040"/>
              <w:gridCol w:w="1002"/>
              <w:gridCol w:w="1041"/>
              <w:gridCol w:w="1003"/>
              <w:gridCol w:w="140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710" w:type="dxa"/>
                  <w:vMerge w:val="restart"/>
                  <w:tcBorders>
                    <w:tl2br w:val="nil"/>
                    <w:tr2bl w:val="nil"/>
                  </w:tcBorders>
                  <w:vAlign w:val="center"/>
                </w:tcPr>
                <w:p>
                  <w:pPr>
                    <w:spacing w:line="240" w:lineRule="auto"/>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类别</w:t>
                  </w:r>
                </w:p>
              </w:tc>
              <w:tc>
                <w:tcPr>
                  <w:tcW w:w="1458" w:type="dxa"/>
                  <w:vMerge w:val="restart"/>
                  <w:tcBorders>
                    <w:tl2br w:val="nil"/>
                    <w:tr2bl w:val="nil"/>
                  </w:tcBorders>
                  <w:vAlign w:val="center"/>
                </w:tcPr>
                <w:p>
                  <w:pPr>
                    <w:spacing w:line="240" w:lineRule="auto"/>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污染物种类</w:t>
                  </w:r>
                </w:p>
              </w:tc>
              <w:tc>
                <w:tcPr>
                  <w:tcW w:w="836"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水量t/a</w:t>
                  </w:r>
                </w:p>
              </w:tc>
              <w:tc>
                <w:tcPr>
                  <w:tcW w:w="2042" w:type="dxa"/>
                  <w:gridSpan w:val="2"/>
                  <w:tcBorders>
                    <w:tl2br w:val="nil"/>
                    <w:tr2bl w:val="nil"/>
                  </w:tcBorders>
                  <w:vAlign w:val="center"/>
                </w:tcPr>
                <w:p>
                  <w:pPr>
                    <w:spacing w:line="240" w:lineRule="auto"/>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污染物产生情况</w:t>
                  </w:r>
                </w:p>
              </w:tc>
              <w:tc>
                <w:tcPr>
                  <w:tcW w:w="2044" w:type="dxa"/>
                  <w:gridSpan w:val="2"/>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污染物</w:t>
                  </w:r>
                  <w:r>
                    <w:rPr>
                      <w:rFonts w:hint="default" w:ascii="Times New Roman" w:hAnsi="Times New Roman" w:cs="Times New Roman"/>
                      <w:color w:val="auto"/>
                      <w:sz w:val="21"/>
                      <w:highlight w:val="none"/>
                      <w:lang w:val="en-US" w:eastAsia="zh-CN"/>
                    </w:rPr>
                    <w:t>排放</w:t>
                  </w:r>
                  <w:r>
                    <w:rPr>
                      <w:rFonts w:hint="default" w:ascii="Times New Roman" w:hAnsi="Times New Roman" w:cs="Times New Roman"/>
                      <w:color w:val="auto"/>
                      <w:sz w:val="21"/>
                      <w:highlight w:val="none"/>
                    </w:rPr>
                    <w:t>情况</w:t>
                  </w:r>
                </w:p>
              </w:tc>
              <w:tc>
                <w:tcPr>
                  <w:tcW w:w="1406"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排放去向</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710" w:type="dxa"/>
                  <w:vMerge w:val="continue"/>
                  <w:tcBorders>
                    <w:tl2br w:val="nil"/>
                    <w:tr2bl w:val="nil"/>
                  </w:tcBorders>
                  <w:vAlign w:val="center"/>
                </w:tcPr>
                <w:p>
                  <w:pPr>
                    <w:spacing w:line="240" w:lineRule="auto"/>
                    <w:jc w:val="center"/>
                    <w:rPr>
                      <w:rFonts w:hint="default" w:ascii="Times New Roman" w:hAnsi="Times New Roman" w:cs="Times New Roman"/>
                      <w:color w:val="auto"/>
                      <w:sz w:val="21"/>
                      <w:highlight w:val="none"/>
                    </w:rPr>
                  </w:pPr>
                </w:p>
              </w:tc>
              <w:tc>
                <w:tcPr>
                  <w:tcW w:w="1458" w:type="dxa"/>
                  <w:vMerge w:val="continue"/>
                  <w:tcBorders>
                    <w:tl2br w:val="nil"/>
                    <w:tr2bl w:val="nil"/>
                  </w:tcBorders>
                  <w:vAlign w:val="center"/>
                </w:tcPr>
                <w:p>
                  <w:pPr>
                    <w:spacing w:line="240" w:lineRule="auto"/>
                    <w:jc w:val="center"/>
                    <w:rPr>
                      <w:rFonts w:hint="default" w:ascii="Times New Roman" w:hAnsi="Times New Roman" w:cs="Times New Roman"/>
                      <w:color w:val="auto"/>
                      <w:sz w:val="21"/>
                      <w:highlight w:val="none"/>
                    </w:rPr>
                  </w:pPr>
                </w:p>
              </w:tc>
              <w:tc>
                <w:tcPr>
                  <w:tcW w:w="836" w:type="dxa"/>
                  <w:vMerge w:val="continue"/>
                  <w:tcBorders>
                    <w:tl2br w:val="nil"/>
                    <w:tr2bl w:val="nil"/>
                  </w:tcBorders>
                  <w:vAlign w:val="center"/>
                </w:tcPr>
                <w:p>
                  <w:pPr>
                    <w:spacing w:line="240" w:lineRule="auto"/>
                    <w:jc w:val="center"/>
                    <w:rPr>
                      <w:rFonts w:hint="default" w:ascii="Times New Roman" w:hAnsi="Times New Roman" w:cs="Times New Roman"/>
                      <w:color w:val="auto"/>
                      <w:sz w:val="21"/>
                      <w:highlight w:val="none"/>
                    </w:rPr>
                  </w:pPr>
                </w:p>
              </w:tc>
              <w:tc>
                <w:tcPr>
                  <w:tcW w:w="1040" w:type="dxa"/>
                  <w:tcBorders>
                    <w:tl2br w:val="nil"/>
                    <w:tr2bl w:val="nil"/>
                  </w:tcBorders>
                  <w:vAlign w:val="center"/>
                </w:tcPr>
                <w:p>
                  <w:pPr>
                    <w:spacing w:line="240" w:lineRule="auto"/>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浓度mg/L</w:t>
                  </w:r>
                </w:p>
              </w:tc>
              <w:tc>
                <w:tcPr>
                  <w:tcW w:w="1002" w:type="dxa"/>
                  <w:tcBorders>
                    <w:tl2br w:val="nil"/>
                    <w:tr2bl w:val="nil"/>
                  </w:tcBorders>
                  <w:vAlign w:val="center"/>
                </w:tcPr>
                <w:p>
                  <w:pPr>
                    <w:spacing w:line="240" w:lineRule="auto"/>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产生量t/a</w:t>
                  </w:r>
                </w:p>
              </w:tc>
              <w:tc>
                <w:tcPr>
                  <w:tcW w:w="1041" w:type="dxa"/>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浓度mg/L</w:t>
                  </w:r>
                </w:p>
              </w:tc>
              <w:tc>
                <w:tcPr>
                  <w:tcW w:w="1003" w:type="dxa"/>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val="en-US" w:eastAsia="zh-CN"/>
                    </w:rPr>
                    <w:t>排放</w:t>
                  </w:r>
                  <w:r>
                    <w:rPr>
                      <w:rFonts w:hint="default" w:ascii="Times New Roman" w:hAnsi="Times New Roman" w:cs="Times New Roman"/>
                      <w:color w:val="auto"/>
                      <w:sz w:val="21"/>
                      <w:highlight w:val="none"/>
                    </w:rPr>
                    <w:t>量t/a</w:t>
                  </w:r>
                </w:p>
              </w:tc>
              <w:tc>
                <w:tcPr>
                  <w:tcW w:w="1406" w:type="dxa"/>
                  <w:vMerge w:val="continue"/>
                  <w:tcBorders>
                    <w:tl2br w:val="nil"/>
                    <w:tr2bl w:val="nil"/>
                  </w:tcBorders>
                  <w:vAlign w:val="center"/>
                </w:tcPr>
                <w:p>
                  <w:pPr>
                    <w:spacing w:line="240" w:lineRule="auto"/>
                    <w:jc w:val="center"/>
                    <w:rPr>
                      <w:rFonts w:hint="default" w:ascii="Times New Roman" w:hAnsi="Times New Roman" w:cs="Times New Roman"/>
                      <w:color w:val="auto"/>
                      <w:sz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冷凝水</w:t>
                  </w:r>
                </w:p>
              </w:tc>
              <w:tc>
                <w:tcPr>
                  <w:tcW w:w="1458" w:type="dxa"/>
                  <w:tcBorders>
                    <w:tl2br w:val="nil"/>
                    <w:tr2bl w:val="nil"/>
                  </w:tcBorders>
                  <w:vAlign w:val="center"/>
                </w:tcPr>
                <w:p>
                  <w:pPr>
                    <w:spacing w:line="240" w:lineRule="auto"/>
                    <w:jc w:val="center"/>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rPr>
                    <w:t>pH</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lang w:val="en-US" w:eastAsia="zh-CN"/>
                    </w:rPr>
                    <w:t>无量纲</w:t>
                  </w:r>
                  <w:r>
                    <w:rPr>
                      <w:rFonts w:hint="default" w:ascii="Times New Roman" w:hAnsi="Times New Roman" w:cs="Times New Roman"/>
                      <w:color w:val="auto"/>
                      <w:sz w:val="21"/>
                      <w:highlight w:val="none"/>
                      <w:lang w:eastAsia="zh-CN"/>
                    </w:rPr>
                    <w:t>）</w:t>
                  </w:r>
                </w:p>
              </w:tc>
              <w:tc>
                <w:tcPr>
                  <w:tcW w:w="836"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7329.526</w:t>
                  </w:r>
                </w:p>
              </w:tc>
              <w:tc>
                <w:tcPr>
                  <w:tcW w:w="1040" w:type="dxa"/>
                  <w:tcBorders>
                    <w:tl2br w:val="nil"/>
                    <w:tr2bl w:val="nil"/>
                  </w:tcBorders>
                  <w:vAlign w:val="center"/>
                </w:tcPr>
                <w:p>
                  <w:pPr>
                    <w:spacing w:line="240" w:lineRule="auto"/>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w:t>
                  </w:r>
                </w:p>
              </w:tc>
              <w:tc>
                <w:tcPr>
                  <w:tcW w:w="1002" w:type="dxa"/>
                  <w:tcBorders>
                    <w:tl2br w:val="nil"/>
                    <w:tr2bl w:val="nil"/>
                  </w:tcBorders>
                  <w:vAlign w:val="center"/>
                </w:tcPr>
                <w:p>
                  <w:pPr>
                    <w:spacing w:line="240" w:lineRule="auto"/>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w:t>
                  </w:r>
                </w:p>
              </w:tc>
              <w:tc>
                <w:tcPr>
                  <w:tcW w:w="1041" w:type="dxa"/>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val="en-US" w:eastAsia="zh-CN"/>
                    </w:rPr>
                    <w:t>/</w:t>
                  </w:r>
                </w:p>
              </w:tc>
              <w:tc>
                <w:tcPr>
                  <w:tcW w:w="1003" w:type="dxa"/>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w:t>
                  </w:r>
                </w:p>
              </w:tc>
              <w:tc>
                <w:tcPr>
                  <w:tcW w:w="1406" w:type="dxa"/>
                  <w:vMerge w:val="restart"/>
                  <w:tcBorders>
                    <w:tl2br w:val="nil"/>
                    <w:tr2bl w:val="nil"/>
                  </w:tcBorders>
                  <w:vAlign w:val="center"/>
                </w:tcPr>
                <w:p>
                  <w:pPr>
                    <w:spacing w:line="240" w:lineRule="auto"/>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回用于喷淋塔</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continue"/>
                  <w:tcBorders>
                    <w:tl2br w:val="nil"/>
                    <w:tr2bl w:val="nil"/>
                  </w:tcBorders>
                  <w:vAlign w:val="center"/>
                </w:tcPr>
                <w:p>
                  <w:pPr>
                    <w:spacing w:line="240" w:lineRule="auto"/>
                    <w:jc w:val="center"/>
                    <w:rPr>
                      <w:rFonts w:hint="default" w:ascii="Times New Roman" w:hAnsi="Times New Roman" w:cs="Times New Roman"/>
                      <w:color w:val="auto"/>
                      <w:sz w:val="21"/>
                      <w:highlight w:val="none"/>
                    </w:rPr>
                  </w:pPr>
                </w:p>
              </w:tc>
              <w:tc>
                <w:tcPr>
                  <w:tcW w:w="1458" w:type="dxa"/>
                  <w:tcBorders>
                    <w:tl2br w:val="nil"/>
                    <w:tr2bl w:val="nil"/>
                  </w:tcBorders>
                  <w:vAlign w:val="center"/>
                </w:tcPr>
                <w:p>
                  <w:pPr>
                    <w:spacing w:line="240" w:lineRule="auto"/>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DMF</w:t>
                  </w:r>
                </w:p>
              </w:tc>
              <w:tc>
                <w:tcPr>
                  <w:tcW w:w="836" w:type="dxa"/>
                  <w:vMerge w:val="continue"/>
                  <w:tcBorders>
                    <w:tl2br w:val="nil"/>
                    <w:tr2bl w:val="nil"/>
                  </w:tcBorders>
                  <w:vAlign w:val="center"/>
                </w:tcPr>
                <w:p>
                  <w:pPr>
                    <w:spacing w:line="240" w:lineRule="auto"/>
                    <w:jc w:val="center"/>
                    <w:rPr>
                      <w:rFonts w:hint="default" w:ascii="Times New Roman" w:hAnsi="Times New Roman" w:cs="Times New Roman"/>
                      <w:color w:val="auto"/>
                      <w:sz w:val="21"/>
                      <w:highlight w:val="none"/>
                      <w:lang w:val="en-US" w:eastAsia="zh-CN"/>
                    </w:rPr>
                  </w:pPr>
                </w:p>
              </w:tc>
              <w:tc>
                <w:tcPr>
                  <w:tcW w:w="1040" w:type="dxa"/>
                  <w:tcBorders>
                    <w:tl2br w:val="nil"/>
                    <w:tr2bl w:val="nil"/>
                  </w:tcBorders>
                  <w:vAlign w:val="center"/>
                </w:tcPr>
                <w:p>
                  <w:pPr>
                    <w:spacing w:line="240" w:lineRule="auto"/>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5000</w:t>
                  </w:r>
                </w:p>
              </w:tc>
              <w:tc>
                <w:tcPr>
                  <w:tcW w:w="1002" w:type="dxa"/>
                  <w:tcBorders>
                    <w:tl2br w:val="nil"/>
                    <w:tr2bl w:val="nil"/>
                  </w:tcBorders>
                  <w:vAlign w:val="center"/>
                </w:tcPr>
                <w:p>
                  <w:pPr>
                    <w:spacing w:line="240" w:lineRule="auto"/>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36.648</w:t>
                  </w:r>
                </w:p>
              </w:tc>
              <w:tc>
                <w:tcPr>
                  <w:tcW w:w="1041" w:type="dxa"/>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val="en-US" w:eastAsia="zh-CN"/>
                    </w:rPr>
                    <w:t>/</w:t>
                  </w:r>
                </w:p>
              </w:tc>
              <w:tc>
                <w:tcPr>
                  <w:tcW w:w="1003" w:type="dxa"/>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w:t>
                  </w:r>
                </w:p>
              </w:tc>
              <w:tc>
                <w:tcPr>
                  <w:tcW w:w="1406" w:type="dxa"/>
                  <w:vMerge w:val="continue"/>
                  <w:tcBorders>
                    <w:tl2br w:val="nil"/>
                    <w:tr2bl w:val="nil"/>
                  </w:tcBorders>
                  <w:vAlign w:val="center"/>
                </w:tcPr>
                <w:p>
                  <w:pPr>
                    <w:spacing w:line="240" w:lineRule="auto"/>
                    <w:jc w:val="center"/>
                    <w:rPr>
                      <w:rFonts w:hint="default" w:ascii="Times New Roman" w:hAnsi="Times New Roman" w:cs="Times New Roman"/>
                      <w:color w:val="auto"/>
                      <w:sz w:val="21"/>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continue"/>
                  <w:tcBorders>
                    <w:tl2br w:val="nil"/>
                    <w:tr2bl w:val="nil"/>
                  </w:tcBorders>
                  <w:vAlign w:val="center"/>
                </w:tcPr>
                <w:p>
                  <w:pPr>
                    <w:spacing w:line="240" w:lineRule="auto"/>
                    <w:jc w:val="center"/>
                    <w:rPr>
                      <w:rFonts w:hint="default" w:ascii="Times New Roman" w:hAnsi="Times New Roman" w:cs="Times New Roman"/>
                      <w:color w:val="auto"/>
                      <w:sz w:val="21"/>
                      <w:highlight w:val="none"/>
                    </w:rPr>
                  </w:pPr>
                </w:p>
              </w:tc>
              <w:tc>
                <w:tcPr>
                  <w:tcW w:w="1458" w:type="dxa"/>
                  <w:tcBorders>
                    <w:tl2br w:val="nil"/>
                    <w:tr2bl w:val="nil"/>
                  </w:tcBorders>
                  <w:vAlign w:val="center"/>
                </w:tcPr>
                <w:p>
                  <w:pPr>
                    <w:spacing w:line="240" w:lineRule="auto"/>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COD</w:t>
                  </w:r>
                </w:p>
              </w:tc>
              <w:tc>
                <w:tcPr>
                  <w:tcW w:w="836" w:type="dxa"/>
                  <w:vMerge w:val="continue"/>
                  <w:tcBorders>
                    <w:tl2br w:val="nil"/>
                    <w:tr2bl w:val="nil"/>
                  </w:tcBorders>
                  <w:vAlign w:val="center"/>
                </w:tcPr>
                <w:p>
                  <w:pPr>
                    <w:spacing w:line="240" w:lineRule="auto"/>
                    <w:jc w:val="center"/>
                    <w:rPr>
                      <w:rFonts w:hint="default" w:ascii="Times New Roman" w:hAnsi="Times New Roman" w:cs="Times New Roman"/>
                      <w:color w:val="auto"/>
                      <w:sz w:val="21"/>
                      <w:highlight w:val="none"/>
                      <w:lang w:val="en-US" w:eastAsia="zh-CN"/>
                    </w:rPr>
                  </w:pPr>
                </w:p>
              </w:tc>
              <w:tc>
                <w:tcPr>
                  <w:tcW w:w="1040" w:type="dxa"/>
                  <w:tcBorders>
                    <w:tl2br w:val="nil"/>
                    <w:tr2bl w:val="nil"/>
                  </w:tcBorders>
                  <w:vAlign w:val="center"/>
                </w:tcPr>
                <w:p>
                  <w:pPr>
                    <w:spacing w:line="240" w:lineRule="auto"/>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500</w:t>
                  </w:r>
                </w:p>
              </w:tc>
              <w:tc>
                <w:tcPr>
                  <w:tcW w:w="1002" w:type="dxa"/>
                  <w:tcBorders>
                    <w:tl2br w:val="nil"/>
                    <w:tr2bl w:val="nil"/>
                  </w:tcBorders>
                  <w:vAlign w:val="center"/>
                </w:tcPr>
                <w:p>
                  <w:pPr>
                    <w:spacing w:line="240" w:lineRule="auto"/>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3.665</w:t>
                  </w:r>
                </w:p>
              </w:tc>
              <w:tc>
                <w:tcPr>
                  <w:tcW w:w="1041" w:type="dxa"/>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lang w:val="en-US" w:eastAsia="zh-CN"/>
                    </w:rPr>
                    <w:t>/</w:t>
                  </w:r>
                </w:p>
              </w:tc>
              <w:tc>
                <w:tcPr>
                  <w:tcW w:w="1003" w:type="dxa"/>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w:t>
                  </w:r>
                </w:p>
              </w:tc>
              <w:tc>
                <w:tcPr>
                  <w:tcW w:w="1406" w:type="dxa"/>
                  <w:vMerge w:val="continue"/>
                  <w:tcBorders>
                    <w:tl2br w:val="nil"/>
                    <w:tr2bl w:val="nil"/>
                  </w:tcBorders>
                  <w:vAlign w:val="center"/>
                </w:tcPr>
                <w:p>
                  <w:pPr>
                    <w:spacing w:line="240" w:lineRule="auto"/>
                    <w:jc w:val="center"/>
                    <w:rPr>
                      <w:rFonts w:hint="default" w:ascii="Times New Roman" w:hAnsi="Times New Roman" w:cs="Times New Roman"/>
                      <w:color w:val="auto"/>
                      <w:sz w:val="21"/>
                      <w:highlight w:val="none"/>
                      <w:lang w:val="en-US" w:eastAsia="zh-CN"/>
                    </w:rPr>
                  </w:pPr>
                </w:p>
              </w:tc>
            </w:tr>
          </w:tbl>
          <w:p>
            <w:pPr>
              <w:numPr>
                <w:ilvl w:val="0"/>
                <w:numId w:val="0"/>
              </w:numPr>
              <w:tabs>
                <w:tab w:val="left" w:pos="0"/>
              </w:tabs>
              <w:ind w:leftChars="0"/>
              <w:rPr>
                <w:rFonts w:hint="default" w:ascii="Times New Roman" w:hAnsi="Times New Roman" w:cs="Times New Roman"/>
                <w:color w:val="auto"/>
                <w:highlight w:val="none"/>
              </w:rPr>
            </w:pPr>
          </w:p>
          <w:p>
            <w:pPr>
              <w:pStyle w:val="5"/>
              <w:numPr>
                <w:ilvl w:val="0"/>
                <w:numId w:val="0"/>
              </w:numPr>
              <w:ind w:left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厂区废水管网建设要求</w:t>
            </w:r>
          </w:p>
          <w:p>
            <w:pPr>
              <w:pStyle w:val="5"/>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Cs w:val="20"/>
                <w:highlight w:val="none"/>
                <w:lang w:val="en-US" w:eastAsia="zh-CN" w:bidi="ar"/>
              </w:rPr>
              <w:t>本项目DMF废液、不合格品和回用水的输送管道应根据</w:t>
            </w:r>
            <w:r>
              <w:rPr>
                <w:rFonts w:hint="default" w:ascii="Times New Roman" w:hAnsi="Times New Roman" w:cs="Times New Roman"/>
                <w:color w:val="auto"/>
                <w:highlight w:val="none"/>
                <w:lang w:val="en-US" w:eastAsia="zh-CN"/>
              </w:rPr>
              <w:t>《福建省合成革与人造革行业环境准入条件》要求，采用</w:t>
            </w:r>
            <w:r>
              <w:rPr>
                <w:rFonts w:hint="default" w:ascii="Times New Roman" w:hAnsi="Times New Roman" w:cs="Times New Roman"/>
                <w:color w:val="auto"/>
                <w:sz w:val="24"/>
                <w:szCs w:val="20"/>
                <w:highlight w:val="none"/>
                <w:lang w:bidi="ar"/>
              </w:rPr>
              <w:t>明管或通过管沟敷设方式</w:t>
            </w:r>
            <w:r>
              <w:rPr>
                <w:rFonts w:hint="default" w:ascii="Times New Roman" w:hAnsi="Times New Roman" w:cs="Times New Roman"/>
                <w:color w:val="auto"/>
                <w:highlight w:val="none"/>
                <w:lang w:val="en-US" w:eastAsia="zh-CN"/>
              </w:rPr>
              <w:t>，采用防渗防腐管道，管沟应参照</w:t>
            </w:r>
            <w:r>
              <w:rPr>
                <w:rFonts w:hint="default" w:ascii="Times New Roman" w:hAnsi="Times New Roman" w:cs="Times New Roman"/>
                <w:color w:val="auto"/>
                <w:highlight w:val="none"/>
              </w:rPr>
              <w:t>《危险废物贮存污染控制标准》（GB18597-2001）</w:t>
            </w:r>
            <w:r>
              <w:rPr>
                <w:rFonts w:hint="default" w:ascii="Times New Roman" w:hAnsi="Times New Roman" w:cs="Times New Roman"/>
                <w:color w:val="auto"/>
                <w:highlight w:val="none"/>
                <w:lang w:val="en-US" w:eastAsia="zh-CN"/>
              </w:rPr>
              <w:t>要求进行防渗，并配备相应的泄漏液收集设施，便于维护和检修。厂区内所有含DMF生产废水须全部进入DMF废液回收处理设备进行精馏回收</w:t>
            </w:r>
            <w:r>
              <w:rPr>
                <w:rFonts w:hint="default" w:ascii="Times New Roman" w:hAnsi="Times New Roman" w:cs="Times New Roman"/>
                <w:color w:val="auto"/>
                <w:szCs w:val="20"/>
                <w:highlight w:val="none"/>
                <w:lang w:bidi="ar"/>
              </w:rPr>
              <w:t>。</w:t>
            </w:r>
            <w:r>
              <w:rPr>
                <w:rFonts w:hint="default" w:ascii="Times New Roman" w:hAnsi="Times New Roman" w:cs="Times New Roman"/>
                <w:color w:val="auto"/>
                <w:sz w:val="24"/>
                <w:szCs w:val="20"/>
                <w:highlight w:val="none"/>
                <w:lang w:bidi="ar"/>
              </w:rPr>
              <w:t>同时建设单位定期组织巡查，排查泄漏隐患</w:t>
            </w:r>
            <w:r>
              <w:rPr>
                <w:rFonts w:hint="default" w:ascii="Times New Roman" w:hAnsi="Times New Roman" w:cs="Times New Roman"/>
                <w:color w:val="auto"/>
                <w:sz w:val="24"/>
                <w:szCs w:val="20"/>
                <w:highlight w:val="none"/>
                <w:lang w:eastAsia="zh-CN" w:bidi="ar"/>
              </w:rPr>
              <w:t>，</w:t>
            </w:r>
            <w:r>
              <w:rPr>
                <w:rFonts w:hint="default" w:ascii="Times New Roman" w:hAnsi="Times New Roman" w:cs="Times New Roman"/>
                <w:color w:val="auto"/>
                <w:sz w:val="24"/>
                <w:szCs w:val="20"/>
                <w:highlight w:val="none"/>
                <w:lang w:val="en-US" w:eastAsia="zh-CN" w:bidi="ar"/>
              </w:rPr>
              <w:t>在建设单位落实防渗、巡检措施后，本项目的建设对周边水环境的影响较小。</w:t>
            </w:r>
          </w:p>
          <w:p>
            <w:pPr>
              <w:pStyle w:val="2"/>
              <w:numPr>
                <w:ilvl w:val="1"/>
                <w:numId w:val="9"/>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p>
            <w:pPr>
              <w:pStyle w:val="5"/>
              <w:numPr>
                <w:ilvl w:val="0"/>
                <w:numId w:val="0"/>
              </w:numPr>
              <w:ind w:left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噪声污染源分析</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val="en-US" w:eastAsia="zh-CN"/>
              </w:rPr>
              <w:t>建设两套DMF废液回收处理设备，</w:t>
            </w:r>
            <w:r>
              <w:rPr>
                <w:rFonts w:hint="default" w:ascii="Times New Roman" w:hAnsi="Times New Roman" w:cs="Times New Roman"/>
                <w:color w:val="auto"/>
                <w:highlight w:val="none"/>
              </w:rPr>
              <w:t>主要噪声源是</w:t>
            </w:r>
            <w:r>
              <w:rPr>
                <w:rFonts w:hint="default" w:ascii="Times New Roman" w:hAnsi="Times New Roman" w:cs="Times New Roman"/>
                <w:color w:val="auto"/>
                <w:highlight w:val="none"/>
                <w:lang w:val="en-US" w:eastAsia="zh-CN"/>
              </w:rPr>
              <w:t>泵、超重力精馏床等设备</w:t>
            </w:r>
            <w:r>
              <w:rPr>
                <w:rFonts w:hint="default" w:ascii="Times New Roman" w:hAnsi="Times New Roman" w:cs="Times New Roman"/>
                <w:color w:val="auto"/>
                <w:highlight w:val="none"/>
              </w:rPr>
              <w:t>，噪声源强</w:t>
            </w:r>
            <w:r>
              <w:rPr>
                <w:rFonts w:hint="default" w:ascii="Times New Roman" w:hAnsi="Times New Roman" w:cs="Times New Roman"/>
                <w:color w:val="auto"/>
                <w:highlight w:val="none"/>
                <w:lang w:val="en-US" w:eastAsia="zh-CN"/>
              </w:rPr>
              <w:t>及设备分布情况</w:t>
            </w:r>
            <w:r>
              <w:rPr>
                <w:rFonts w:hint="default" w:ascii="Times New Roman" w:hAnsi="Times New Roman" w:cs="Times New Roman"/>
                <w:color w:val="auto"/>
                <w:highlight w:val="none"/>
              </w:rPr>
              <w:t>见下表。</w:t>
            </w:r>
          </w:p>
          <w:p>
            <w:pPr>
              <w:pStyle w:val="15"/>
              <w:numPr>
                <w:ilvl w:val="7"/>
                <w:numId w:val="9"/>
              </w:numPr>
              <w:rPr>
                <w:rFonts w:hint="default" w:ascii="Times New Roman" w:hAnsi="Times New Roman" w:cs="Times New Roman"/>
                <w:color w:val="auto"/>
                <w:highlight w:val="none"/>
              </w:rPr>
            </w:pPr>
            <w:bookmarkStart w:id="16" w:name="_Ref28004"/>
            <w:r>
              <w:rPr>
                <w:rFonts w:hint="default" w:ascii="Times New Roman" w:hAnsi="Times New Roman" w:cs="Times New Roman"/>
                <w:color w:val="auto"/>
                <w:highlight w:val="none"/>
              </w:rPr>
              <w:t>主要噪声源强</w:t>
            </w:r>
            <w:bookmarkEnd w:id="16"/>
          </w:p>
          <w:tbl>
            <w:tblPr>
              <w:tblStyle w:val="12"/>
              <w:tblW w:w="8407"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033"/>
              <w:gridCol w:w="1241"/>
              <w:gridCol w:w="1150"/>
              <w:gridCol w:w="684"/>
              <w:gridCol w:w="1166"/>
              <w:gridCol w:w="1142"/>
              <w:gridCol w:w="91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1" w:type="dxa"/>
                  <w:tcBorders>
                    <w:tl2br w:val="nil"/>
                    <w:tr2bl w:val="nil"/>
                  </w:tcBorders>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位置</w:t>
                  </w:r>
                </w:p>
              </w:tc>
              <w:tc>
                <w:tcPr>
                  <w:tcW w:w="2274" w:type="dxa"/>
                  <w:gridSpan w:val="2"/>
                  <w:tcBorders>
                    <w:tl2br w:val="nil"/>
                    <w:tr2bl w:val="nil"/>
                  </w:tcBorders>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噪声源</w:t>
                  </w:r>
                </w:p>
              </w:tc>
              <w:tc>
                <w:tcPr>
                  <w:tcW w:w="1150" w:type="dxa"/>
                  <w:tcBorders>
                    <w:tl2br w:val="nil"/>
                    <w:tr2bl w:val="nil"/>
                  </w:tcBorders>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单台声级</w:t>
                  </w:r>
                </w:p>
              </w:tc>
              <w:tc>
                <w:tcPr>
                  <w:tcW w:w="684" w:type="dxa"/>
                  <w:tcBorders>
                    <w:tl2br w:val="nil"/>
                    <w:tr2bl w:val="nil"/>
                  </w:tcBorders>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台数</w:t>
                  </w:r>
                </w:p>
              </w:tc>
              <w:tc>
                <w:tcPr>
                  <w:tcW w:w="1166" w:type="dxa"/>
                  <w:tcBorders>
                    <w:tl2br w:val="nil"/>
                    <w:tr2bl w:val="nil"/>
                  </w:tcBorders>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治理措施</w:t>
                  </w:r>
                </w:p>
              </w:tc>
              <w:tc>
                <w:tcPr>
                  <w:tcW w:w="1142" w:type="dxa"/>
                  <w:tcBorders>
                    <w:tl2br w:val="nil"/>
                    <w:tr2bl w:val="nil"/>
                  </w:tcBorders>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降噪</w:t>
                  </w:r>
                  <w:r>
                    <w:rPr>
                      <w:rFonts w:hint="default" w:ascii="Times New Roman" w:hAnsi="Times New Roman" w:cs="Times New Roman"/>
                      <w:color w:val="auto"/>
                      <w:szCs w:val="21"/>
                      <w:highlight w:val="none"/>
                      <w:lang w:val="en-US" w:eastAsia="zh-CN"/>
                    </w:rPr>
                    <w:t>效果</w:t>
                  </w:r>
                  <w:r>
                    <w:rPr>
                      <w:rFonts w:hint="default" w:ascii="Times New Roman" w:hAnsi="Times New Roman" w:cs="Times New Roman"/>
                      <w:color w:val="auto"/>
                      <w:szCs w:val="21"/>
                      <w:highlight w:val="none"/>
                    </w:rPr>
                    <w:t>dB(A)</w:t>
                  </w:r>
                </w:p>
              </w:tc>
              <w:tc>
                <w:tcPr>
                  <w:tcW w:w="910" w:type="dxa"/>
                  <w:tcBorders>
                    <w:tl2br w:val="nil"/>
                    <w:tr2bl w:val="nil"/>
                  </w:tcBorders>
                  <w:vAlign w:val="center"/>
                </w:tcPr>
                <w:p>
                  <w:pPr>
                    <w:pStyle w:val="16"/>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持续时间/h</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1" w:type="dxa"/>
                  <w:vMerge w:val="restart"/>
                  <w:tcBorders>
                    <w:tl2br w:val="nil"/>
                    <w:tr2bl w:val="nil"/>
                  </w:tcBorders>
                  <w:vAlign w:val="center"/>
                </w:tcPr>
                <w:p>
                  <w:pPr>
                    <w:pStyle w:val="16"/>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2#喷淋塔旁</w:t>
                  </w:r>
                </w:p>
              </w:tc>
              <w:tc>
                <w:tcPr>
                  <w:tcW w:w="1033" w:type="dxa"/>
                  <w:vMerge w:val="restart"/>
                  <w:tcBorders>
                    <w:tl2br w:val="nil"/>
                    <w:tr2bl w:val="nil"/>
                  </w:tcBorders>
                  <w:vAlign w:val="center"/>
                </w:tcPr>
                <w:p>
                  <w:pPr>
                    <w:pStyle w:val="16"/>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DMF废液回收处理设备（1）</w:t>
                  </w:r>
                </w:p>
              </w:tc>
              <w:tc>
                <w:tcPr>
                  <w:tcW w:w="1241" w:type="dxa"/>
                  <w:tcBorders>
                    <w:tl2br w:val="nil"/>
                    <w:tr2bl w:val="nil"/>
                  </w:tcBorders>
                  <w:vAlign w:val="center"/>
                </w:tcPr>
                <w:p>
                  <w:pPr>
                    <w:pStyle w:val="16"/>
                    <w:ind w:left="0" w:leftChars="0" w:firstLine="0" w:firstLineChars="0"/>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泵</w:t>
                  </w:r>
                </w:p>
              </w:tc>
              <w:tc>
                <w:tcPr>
                  <w:tcW w:w="1150" w:type="dxa"/>
                  <w:tcBorders>
                    <w:tl2br w:val="nil"/>
                    <w:tr2bl w:val="nil"/>
                  </w:tcBorders>
                  <w:vAlign w:val="center"/>
                </w:tcPr>
                <w:p>
                  <w:pPr>
                    <w:pStyle w:val="16"/>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70~80</w:t>
                  </w:r>
                </w:p>
              </w:tc>
              <w:tc>
                <w:tcPr>
                  <w:tcW w:w="684" w:type="dxa"/>
                  <w:tcBorders>
                    <w:tl2br w:val="nil"/>
                    <w:tr2bl w:val="nil"/>
                  </w:tcBorders>
                  <w:vAlign w:val="center"/>
                </w:tcPr>
                <w:p>
                  <w:pPr>
                    <w:pStyle w:val="16"/>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szCs w:val="21"/>
                      <w:highlight w:val="none"/>
                      <w:lang w:val="en-US" w:eastAsia="zh-CN"/>
                    </w:rPr>
                    <w:t>2</w:t>
                  </w:r>
                </w:p>
              </w:tc>
              <w:tc>
                <w:tcPr>
                  <w:tcW w:w="1166" w:type="dxa"/>
                  <w:vMerge w:val="restart"/>
                  <w:tcBorders>
                    <w:tl2br w:val="nil"/>
                    <w:tr2bl w:val="nil"/>
                  </w:tcBorders>
                  <w:vAlign w:val="center"/>
                </w:tcPr>
                <w:p>
                  <w:pPr>
                    <w:pStyle w:val="16"/>
                    <w:ind w:left="0" w:leftChars="0" w:firstLine="0" w:firstLineChars="0"/>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eastAsia="zh-CN" w:bidi="ar"/>
                    </w:rPr>
                    <w:t>围墙</w:t>
                  </w:r>
                  <w:r>
                    <w:rPr>
                      <w:rFonts w:hint="default" w:ascii="Times New Roman" w:hAnsi="Times New Roman" w:cs="Times New Roman"/>
                      <w:color w:val="auto"/>
                      <w:szCs w:val="21"/>
                      <w:highlight w:val="none"/>
                      <w:lang w:bidi="ar"/>
                    </w:rPr>
                    <w:t>隔声</w:t>
                  </w:r>
                  <w:r>
                    <w:rPr>
                      <w:rFonts w:hint="default" w:ascii="Times New Roman" w:hAnsi="Times New Roman" w:cs="Times New Roman"/>
                      <w:color w:val="auto"/>
                      <w:szCs w:val="21"/>
                      <w:highlight w:val="none"/>
                      <w:lang w:eastAsia="zh-CN" w:bidi="ar"/>
                    </w:rPr>
                    <w:t>、</w:t>
                  </w:r>
                  <w:r>
                    <w:rPr>
                      <w:rFonts w:hint="default" w:ascii="Times New Roman" w:hAnsi="Times New Roman" w:cs="Times New Roman"/>
                      <w:color w:val="auto"/>
                      <w:szCs w:val="21"/>
                      <w:highlight w:val="none"/>
                      <w:lang w:val="en-US" w:eastAsia="zh-CN" w:bidi="ar"/>
                    </w:rPr>
                    <w:t>减振、绿化吸收</w:t>
                  </w:r>
                </w:p>
              </w:tc>
              <w:tc>
                <w:tcPr>
                  <w:tcW w:w="1142" w:type="dxa"/>
                  <w:tcBorders>
                    <w:tl2br w:val="nil"/>
                    <w:tr2bl w:val="nil"/>
                  </w:tcBorders>
                  <w:vAlign w:val="center"/>
                </w:tcPr>
                <w:p>
                  <w:pPr>
                    <w:pStyle w:val="16"/>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w:t>
                  </w:r>
                </w:p>
              </w:tc>
              <w:tc>
                <w:tcPr>
                  <w:tcW w:w="910" w:type="dxa"/>
                  <w:tcBorders>
                    <w:tl2br w:val="nil"/>
                    <w:tr2bl w:val="nil"/>
                  </w:tcBorders>
                  <w:vAlign w:val="center"/>
                </w:tcPr>
                <w:p>
                  <w:pPr>
                    <w:pStyle w:val="16"/>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1" w:type="dxa"/>
                  <w:vMerge w:val="continue"/>
                  <w:tcBorders>
                    <w:tl2br w:val="nil"/>
                    <w:tr2bl w:val="nil"/>
                  </w:tcBorders>
                  <w:vAlign w:val="center"/>
                </w:tcPr>
                <w:p>
                  <w:pPr>
                    <w:pStyle w:val="16"/>
                    <w:rPr>
                      <w:rFonts w:hint="default" w:ascii="Times New Roman" w:hAnsi="Times New Roman" w:cs="Times New Roman"/>
                      <w:color w:val="auto"/>
                      <w:szCs w:val="21"/>
                      <w:highlight w:val="none"/>
                    </w:rPr>
                  </w:pPr>
                </w:p>
              </w:tc>
              <w:tc>
                <w:tcPr>
                  <w:tcW w:w="1033" w:type="dxa"/>
                  <w:vMerge w:val="continue"/>
                  <w:tcBorders>
                    <w:tl2br w:val="nil"/>
                    <w:tr2bl w:val="nil"/>
                  </w:tcBorders>
                  <w:vAlign w:val="center"/>
                </w:tcPr>
                <w:p>
                  <w:pPr>
                    <w:pStyle w:val="16"/>
                    <w:rPr>
                      <w:rFonts w:hint="default" w:ascii="Times New Roman" w:hAnsi="Times New Roman" w:eastAsia="宋体" w:cs="Times New Roman"/>
                      <w:color w:val="auto"/>
                      <w:kern w:val="0"/>
                      <w:szCs w:val="21"/>
                      <w:highlight w:val="none"/>
                      <w:lang w:val="en-US" w:eastAsia="zh-CN"/>
                    </w:rPr>
                  </w:pPr>
                </w:p>
              </w:tc>
              <w:tc>
                <w:tcPr>
                  <w:tcW w:w="1241" w:type="dxa"/>
                  <w:tcBorders>
                    <w:tl2br w:val="nil"/>
                    <w:tr2bl w:val="nil"/>
                  </w:tcBorders>
                  <w:vAlign w:val="center"/>
                </w:tcPr>
                <w:p>
                  <w:pPr>
                    <w:pStyle w:val="16"/>
                    <w:ind w:left="0" w:leftChars="0" w:firstLine="0" w:firstLineChars="0"/>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超重力床</w:t>
                  </w:r>
                </w:p>
              </w:tc>
              <w:tc>
                <w:tcPr>
                  <w:tcW w:w="1150" w:type="dxa"/>
                  <w:tcBorders>
                    <w:tl2br w:val="nil"/>
                    <w:tr2bl w:val="nil"/>
                  </w:tcBorders>
                  <w:vAlign w:val="center"/>
                </w:tcPr>
                <w:p>
                  <w:pPr>
                    <w:pStyle w:val="16"/>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70~80</w:t>
                  </w:r>
                </w:p>
              </w:tc>
              <w:tc>
                <w:tcPr>
                  <w:tcW w:w="684" w:type="dxa"/>
                  <w:tcBorders>
                    <w:tl2br w:val="nil"/>
                    <w:tr2bl w:val="nil"/>
                  </w:tcBorders>
                  <w:vAlign w:val="center"/>
                </w:tcPr>
                <w:p>
                  <w:pPr>
                    <w:pStyle w:val="16"/>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1166" w:type="dxa"/>
                  <w:vMerge w:val="continue"/>
                  <w:tcBorders>
                    <w:tl2br w:val="nil"/>
                    <w:tr2bl w:val="nil"/>
                  </w:tcBorders>
                  <w:vAlign w:val="center"/>
                </w:tcPr>
                <w:p>
                  <w:pPr>
                    <w:pStyle w:val="16"/>
                    <w:rPr>
                      <w:rFonts w:hint="default" w:ascii="Times New Roman" w:hAnsi="Times New Roman" w:cs="Times New Roman"/>
                      <w:color w:val="auto"/>
                      <w:szCs w:val="21"/>
                      <w:highlight w:val="none"/>
                    </w:rPr>
                  </w:pPr>
                </w:p>
              </w:tc>
              <w:tc>
                <w:tcPr>
                  <w:tcW w:w="1142" w:type="dxa"/>
                  <w:tcBorders>
                    <w:tl2br w:val="nil"/>
                    <w:tr2bl w:val="nil"/>
                  </w:tcBorders>
                  <w:vAlign w:val="center"/>
                </w:tcPr>
                <w:p>
                  <w:pPr>
                    <w:pStyle w:val="16"/>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w:t>
                  </w:r>
                </w:p>
              </w:tc>
              <w:tc>
                <w:tcPr>
                  <w:tcW w:w="910" w:type="dxa"/>
                  <w:tcBorders>
                    <w:tl2br w:val="nil"/>
                    <w:tr2bl w:val="nil"/>
                  </w:tcBorders>
                  <w:vAlign w:val="center"/>
                </w:tcPr>
                <w:p>
                  <w:pPr>
                    <w:pStyle w:val="16"/>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1" w:type="dxa"/>
                  <w:tcBorders>
                    <w:tl2br w:val="nil"/>
                    <w:tr2bl w:val="nil"/>
                  </w:tcBorders>
                  <w:vAlign w:val="center"/>
                </w:tcPr>
                <w:p>
                  <w:pPr>
                    <w:pStyle w:val="16"/>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储罐区</w:t>
                  </w:r>
                </w:p>
              </w:tc>
              <w:tc>
                <w:tcPr>
                  <w:tcW w:w="1033" w:type="dxa"/>
                  <w:vMerge w:val="continue"/>
                  <w:tcBorders>
                    <w:tl2br w:val="nil"/>
                    <w:tr2bl w:val="nil"/>
                  </w:tcBorders>
                  <w:vAlign w:val="center"/>
                </w:tcPr>
                <w:p>
                  <w:pPr>
                    <w:pStyle w:val="16"/>
                    <w:rPr>
                      <w:rFonts w:hint="default" w:ascii="Times New Roman" w:hAnsi="Times New Roman" w:eastAsia="宋体" w:cs="Times New Roman"/>
                      <w:color w:val="auto"/>
                      <w:kern w:val="0"/>
                      <w:szCs w:val="21"/>
                      <w:highlight w:val="none"/>
                      <w:lang w:val="en-US" w:eastAsia="zh-CN"/>
                    </w:rPr>
                  </w:pPr>
                </w:p>
              </w:tc>
              <w:tc>
                <w:tcPr>
                  <w:tcW w:w="1241" w:type="dxa"/>
                  <w:tcBorders>
                    <w:tl2br w:val="nil"/>
                    <w:tr2bl w:val="nil"/>
                  </w:tcBorders>
                  <w:vAlign w:val="center"/>
                </w:tcPr>
                <w:p>
                  <w:pPr>
                    <w:pStyle w:val="16"/>
                    <w:ind w:left="0" w:leftChars="0" w:firstLine="0" w:firstLineChars="0"/>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泵</w:t>
                  </w:r>
                </w:p>
              </w:tc>
              <w:tc>
                <w:tcPr>
                  <w:tcW w:w="1150" w:type="dxa"/>
                  <w:tcBorders>
                    <w:tl2br w:val="nil"/>
                    <w:tr2bl w:val="nil"/>
                  </w:tcBorders>
                  <w:vAlign w:val="center"/>
                </w:tcPr>
                <w:p>
                  <w:pPr>
                    <w:pStyle w:val="16"/>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70~80</w:t>
                  </w:r>
                </w:p>
              </w:tc>
              <w:tc>
                <w:tcPr>
                  <w:tcW w:w="684" w:type="dxa"/>
                  <w:tcBorders>
                    <w:tl2br w:val="nil"/>
                    <w:tr2bl w:val="nil"/>
                  </w:tcBorders>
                  <w:vAlign w:val="center"/>
                </w:tcPr>
                <w:p>
                  <w:pPr>
                    <w:pStyle w:val="16"/>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1166" w:type="dxa"/>
                  <w:vMerge w:val="continue"/>
                  <w:tcBorders>
                    <w:tl2br w:val="nil"/>
                    <w:tr2bl w:val="nil"/>
                  </w:tcBorders>
                  <w:vAlign w:val="center"/>
                </w:tcPr>
                <w:p>
                  <w:pPr>
                    <w:pStyle w:val="16"/>
                    <w:rPr>
                      <w:rFonts w:hint="default" w:ascii="Times New Roman" w:hAnsi="Times New Roman" w:cs="Times New Roman"/>
                      <w:color w:val="auto"/>
                      <w:szCs w:val="21"/>
                      <w:highlight w:val="none"/>
                    </w:rPr>
                  </w:pPr>
                </w:p>
              </w:tc>
              <w:tc>
                <w:tcPr>
                  <w:tcW w:w="1142" w:type="dxa"/>
                  <w:tcBorders>
                    <w:tl2br w:val="nil"/>
                    <w:tr2bl w:val="nil"/>
                  </w:tcBorders>
                  <w:vAlign w:val="center"/>
                </w:tcPr>
                <w:p>
                  <w:pPr>
                    <w:pStyle w:val="16"/>
                    <w:ind w:left="0" w:leftChars="0" w:firstLine="0" w:firstLineChars="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w:t>
                  </w:r>
                </w:p>
              </w:tc>
              <w:tc>
                <w:tcPr>
                  <w:tcW w:w="910"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24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1" w:type="dxa"/>
                  <w:tcBorders>
                    <w:tl2br w:val="nil"/>
                    <w:tr2bl w:val="nil"/>
                  </w:tcBorders>
                  <w:vAlign w:val="center"/>
                </w:tcPr>
                <w:p>
                  <w:pPr>
                    <w:pStyle w:val="16"/>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回用水罐</w:t>
                  </w:r>
                </w:p>
              </w:tc>
              <w:tc>
                <w:tcPr>
                  <w:tcW w:w="1033" w:type="dxa"/>
                  <w:vMerge w:val="continue"/>
                  <w:tcBorders>
                    <w:tl2br w:val="nil"/>
                    <w:tr2bl w:val="nil"/>
                  </w:tcBorders>
                  <w:vAlign w:val="center"/>
                </w:tcPr>
                <w:p>
                  <w:pPr>
                    <w:pStyle w:val="16"/>
                    <w:rPr>
                      <w:rFonts w:hint="default" w:ascii="Times New Roman" w:hAnsi="Times New Roman" w:eastAsia="宋体" w:cs="Times New Roman"/>
                      <w:color w:val="auto"/>
                      <w:kern w:val="0"/>
                      <w:szCs w:val="21"/>
                      <w:highlight w:val="none"/>
                      <w:lang w:val="en-US" w:eastAsia="zh-CN"/>
                    </w:rPr>
                  </w:pPr>
                </w:p>
              </w:tc>
              <w:tc>
                <w:tcPr>
                  <w:tcW w:w="1241" w:type="dxa"/>
                  <w:tcBorders>
                    <w:tl2br w:val="nil"/>
                    <w:tr2bl w:val="nil"/>
                  </w:tcBorders>
                  <w:vAlign w:val="center"/>
                </w:tcPr>
                <w:p>
                  <w:pPr>
                    <w:pStyle w:val="16"/>
                    <w:ind w:left="0" w:leftChars="0" w:firstLine="0" w:firstLineChars="0"/>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泵</w:t>
                  </w:r>
                </w:p>
              </w:tc>
              <w:tc>
                <w:tcPr>
                  <w:tcW w:w="1150" w:type="dxa"/>
                  <w:tcBorders>
                    <w:tl2br w:val="nil"/>
                    <w:tr2bl w:val="nil"/>
                  </w:tcBorders>
                  <w:vAlign w:val="center"/>
                </w:tcPr>
                <w:p>
                  <w:pPr>
                    <w:pStyle w:val="16"/>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70~80</w:t>
                  </w:r>
                </w:p>
              </w:tc>
              <w:tc>
                <w:tcPr>
                  <w:tcW w:w="684" w:type="dxa"/>
                  <w:tcBorders>
                    <w:tl2br w:val="nil"/>
                    <w:tr2bl w:val="nil"/>
                  </w:tcBorders>
                  <w:vAlign w:val="center"/>
                </w:tcPr>
                <w:p>
                  <w:pPr>
                    <w:pStyle w:val="16"/>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1166" w:type="dxa"/>
                  <w:vMerge w:val="continue"/>
                  <w:tcBorders>
                    <w:tl2br w:val="nil"/>
                    <w:tr2bl w:val="nil"/>
                  </w:tcBorders>
                  <w:vAlign w:val="center"/>
                </w:tcPr>
                <w:p>
                  <w:pPr>
                    <w:pStyle w:val="16"/>
                    <w:rPr>
                      <w:rFonts w:hint="default" w:ascii="Times New Roman" w:hAnsi="Times New Roman" w:cs="Times New Roman"/>
                      <w:color w:val="auto"/>
                      <w:szCs w:val="21"/>
                      <w:highlight w:val="none"/>
                    </w:rPr>
                  </w:pPr>
                </w:p>
              </w:tc>
              <w:tc>
                <w:tcPr>
                  <w:tcW w:w="1142" w:type="dxa"/>
                  <w:tcBorders>
                    <w:tl2br w:val="nil"/>
                    <w:tr2bl w:val="nil"/>
                  </w:tcBorders>
                  <w:vAlign w:val="center"/>
                </w:tcPr>
                <w:p>
                  <w:pPr>
                    <w:pStyle w:val="16"/>
                    <w:ind w:left="0" w:leftChars="0" w:firstLine="0" w:firstLineChars="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w:t>
                  </w:r>
                </w:p>
              </w:tc>
              <w:tc>
                <w:tcPr>
                  <w:tcW w:w="910"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24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1" w:type="dxa"/>
                  <w:vMerge w:val="restart"/>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3#喷淋塔旁</w:t>
                  </w:r>
                </w:p>
              </w:tc>
              <w:tc>
                <w:tcPr>
                  <w:tcW w:w="1033" w:type="dxa"/>
                  <w:vMerge w:val="restart"/>
                  <w:tcBorders>
                    <w:tl2br w:val="nil"/>
                    <w:tr2bl w:val="nil"/>
                  </w:tcBorders>
                  <w:vAlign w:val="center"/>
                </w:tcPr>
                <w:p>
                  <w:pPr>
                    <w:pStyle w:val="16"/>
                    <w:ind w:left="0" w:leftChars="0" w:firstLine="0" w:firstLineChars="0"/>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DMF废液回收处理设备（2）</w:t>
                  </w:r>
                </w:p>
              </w:tc>
              <w:tc>
                <w:tcPr>
                  <w:tcW w:w="1241"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Cs w:val="21"/>
                      <w:highlight w:val="none"/>
                      <w:lang w:val="en-US" w:eastAsia="zh-CN"/>
                    </w:rPr>
                    <w:t>泵</w:t>
                  </w:r>
                </w:p>
              </w:tc>
              <w:tc>
                <w:tcPr>
                  <w:tcW w:w="1150"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70~80</w:t>
                  </w:r>
                </w:p>
              </w:tc>
              <w:tc>
                <w:tcPr>
                  <w:tcW w:w="684"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szCs w:val="21"/>
                      <w:highlight w:val="none"/>
                      <w:lang w:val="en-US" w:eastAsia="zh-CN"/>
                    </w:rPr>
                    <w:t>2</w:t>
                  </w:r>
                </w:p>
              </w:tc>
              <w:tc>
                <w:tcPr>
                  <w:tcW w:w="1166" w:type="dxa"/>
                  <w:vMerge w:val="continue"/>
                  <w:tcBorders>
                    <w:tl2br w:val="nil"/>
                    <w:tr2bl w:val="nil"/>
                  </w:tcBorders>
                  <w:vAlign w:val="center"/>
                </w:tcPr>
                <w:p>
                  <w:pPr>
                    <w:pStyle w:val="16"/>
                    <w:ind w:left="0" w:leftChars="0" w:firstLine="0" w:firstLineChars="0"/>
                    <w:rPr>
                      <w:rFonts w:hint="default" w:ascii="Times New Roman" w:hAnsi="Times New Roman" w:eastAsia="宋体" w:cs="Times New Roman"/>
                      <w:color w:val="auto"/>
                      <w:kern w:val="0"/>
                      <w:szCs w:val="21"/>
                      <w:highlight w:val="none"/>
                      <w:lang w:val="en-US" w:eastAsia="zh-CN"/>
                    </w:rPr>
                  </w:pPr>
                </w:p>
              </w:tc>
              <w:tc>
                <w:tcPr>
                  <w:tcW w:w="1142"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w:t>
                  </w:r>
                </w:p>
              </w:tc>
              <w:tc>
                <w:tcPr>
                  <w:tcW w:w="910"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24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1" w:type="dxa"/>
                  <w:vMerge w:val="continue"/>
                  <w:tcBorders>
                    <w:tl2br w:val="nil"/>
                    <w:tr2bl w:val="nil"/>
                  </w:tcBorders>
                  <w:vAlign w:val="center"/>
                </w:tcPr>
                <w:p>
                  <w:pPr>
                    <w:pStyle w:val="16"/>
                    <w:rPr>
                      <w:rFonts w:hint="default" w:ascii="Times New Roman" w:hAnsi="Times New Roman" w:cs="Times New Roman"/>
                      <w:color w:val="auto"/>
                      <w:szCs w:val="21"/>
                      <w:highlight w:val="none"/>
                    </w:rPr>
                  </w:pPr>
                </w:p>
              </w:tc>
              <w:tc>
                <w:tcPr>
                  <w:tcW w:w="1033" w:type="dxa"/>
                  <w:vMerge w:val="continue"/>
                  <w:tcBorders>
                    <w:tl2br w:val="nil"/>
                    <w:tr2bl w:val="nil"/>
                  </w:tcBorders>
                  <w:vAlign w:val="center"/>
                </w:tcPr>
                <w:p>
                  <w:pPr>
                    <w:pStyle w:val="16"/>
                    <w:ind w:left="0" w:leftChars="0" w:firstLine="0" w:firstLineChars="0"/>
                    <w:rPr>
                      <w:rFonts w:hint="default" w:ascii="Times New Roman" w:hAnsi="Times New Roman" w:cs="Times New Roman"/>
                      <w:color w:val="auto"/>
                      <w:kern w:val="0"/>
                      <w:szCs w:val="21"/>
                      <w:highlight w:val="none"/>
                    </w:rPr>
                  </w:pPr>
                </w:p>
              </w:tc>
              <w:tc>
                <w:tcPr>
                  <w:tcW w:w="1241"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Cs w:val="21"/>
                      <w:highlight w:val="none"/>
                      <w:lang w:val="en-US" w:eastAsia="zh-CN"/>
                    </w:rPr>
                    <w:t>超重力床</w:t>
                  </w:r>
                </w:p>
              </w:tc>
              <w:tc>
                <w:tcPr>
                  <w:tcW w:w="1150"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70~80</w:t>
                  </w:r>
                </w:p>
              </w:tc>
              <w:tc>
                <w:tcPr>
                  <w:tcW w:w="684"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1166" w:type="dxa"/>
                  <w:vMerge w:val="continue"/>
                  <w:tcBorders>
                    <w:tl2br w:val="nil"/>
                    <w:tr2bl w:val="nil"/>
                  </w:tcBorders>
                  <w:vAlign w:val="center"/>
                </w:tcPr>
                <w:p>
                  <w:pPr>
                    <w:pStyle w:val="16"/>
                    <w:ind w:left="0" w:leftChars="0" w:firstLine="0" w:firstLineChars="0"/>
                    <w:rPr>
                      <w:rFonts w:hint="default" w:ascii="Times New Roman" w:hAnsi="Times New Roman" w:cs="Times New Roman"/>
                      <w:color w:val="auto"/>
                      <w:szCs w:val="21"/>
                      <w:highlight w:val="none"/>
                    </w:rPr>
                  </w:pPr>
                </w:p>
              </w:tc>
              <w:tc>
                <w:tcPr>
                  <w:tcW w:w="1142"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w:t>
                  </w:r>
                </w:p>
              </w:tc>
              <w:tc>
                <w:tcPr>
                  <w:tcW w:w="910" w:type="dxa"/>
                  <w:tcBorders>
                    <w:tl2br w:val="nil"/>
                    <w:tr2bl w:val="nil"/>
                  </w:tcBorders>
                  <w:vAlign w:val="center"/>
                </w:tcPr>
                <w:p>
                  <w:pPr>
                    <w:pStyle w:val="16"/>
                    <w:ind w:left="0" w:leftChars="0" w:firstLine="0" w:firstLineChars="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1"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储罐区</w:t>
                  </w:r>
                </w:p>
              </w:tc>
              <w:tc>
                <w:tcPr>
                  <w:tcW w:w="1033" w:type="dxa"/>
                  <w:vMerge w:val="continue"/>
                  <w:tcBorders>
                    <w:tl2br w:val="nil"/>
                    <w:tr2bl w:val="nil"/>
                  </w:tcBorders>
                  <w:vAlign w:val="center"/>
                </w:tcPr>
                <w:p>
                  <w:pPr>
                    <w:pStyle w:val="16"/>
                    <w:ind w:left="0" w:leftChars="0" w:firstLine="0" w:firstLineChars="0"/>
                    <w:rPr>
                      <w:rFonts w:hint="default" w:ascii="Times New Roman" w:hAnsi="Times New Roman" w:cs="Times New Roman"/>
                      <w:color w:val="auto"/>
                      <w:kern w:val="0"/>
                      <w:szCs w:val="21"/>
                      <w:highlight w:val="none"/>
                    </w:rPr>
                  </w:pPr>
                </w:p>
              </w:tc>
              <w:tc>
                <w:tcPr>
                  <w:tcW w:w="1241"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Cs w:val="21"/>
                      <w:highlight w:val="none"/>
                      <w:lang w:val="en-US" w:eastAsia="zh-CN"/>
                    </w:rPr>
                    <w:t>泵</w:t>
                  </w:r>
                </w:p>
              </w:tc>
              <w:tc>
                <w:tcPr>
                  <w:tcW w:w="1150"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70~80</w:t>
                  </w:r>
                </w:p>
              </w:tc>
              <w:tc>
                <w:tcPr>
                  <w:tcW w:w="684"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1166" w:type="dxa"/>
                  <w:vMerge w:val="continue"/>
                  <w:tcBorders>
                    <w:tl2br w:val="nil"/>
                    <w:tr2bl w:val="nil"/>
                  </w:tcBorders>
                  <w:vAlign w:val="center"/>
                </w:tcPr>
                <w:p>
                  <w:pPr>
                    <w:pStyle w:val="16"/>
                    <w:ind w:left="0" w:leftChars="0" w:firstLine="0" w:firstLineChars="0"/>
                    <w:rPr>
                      <w:rFonts w:hint="default" w:ascii="Times New Roman" w:hAnsi="Times New Roman" w:cs="Times New Roman"/>
                      <w:color w:val="auto"/>
                      <w:szCs w:val="21"/>
                      <w:highlight w:val="none"/>
                    </w:rPr>
                  </w:pPr>
                </w:p>
              </w:tc>
              <w:tc>
                <w:tcPr>
                  <w:tcW w:w="1142" w:type="dxa"/>
                  <w:tcBorders>
                    <w:tl2br w:val="nil"/>
                    <w:tr2bl w:val="nil"/>
                  </w:tcBorders>
                  <w:vAlign w:val="center"/>
                </w:tcPr>
                <w:p>
                  <w:pPr>
                    <w:pStyle w:val="16"/>
                    <w:ind w:left="0" w:leftChars="0" w:firstLine="0" w:firstLineChars="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w:t>
                  </w:r>
                </w:p>
              </w:tc>
              <w:tc>
                <w:tcPr>
                  <w:tcW w:w="910"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24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1"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回用水罐</w:t>
                  </w:r>
                </w:p>
              </w:tc>
              <w:tc>
                <w:tcPr>
                  <w:tcW w:w="1033" w:type="dxa"/>
                  <w:vMerge w:val="continue"/>
                  <w:tcBorders>
                    <w:tl2br w:val="nil"/>
                    <w:tr2bl w:val="nil"/>
                  </w:tcBorders>
                  <w:vAlign w:val="center"/>
                </w:tcPr>
                <w:p>
                  <w:pPr>
                    <w:pStyle w:val="16"/>
                    <w:ind w:left="0" w:leftChars="0" w:firstLine="0" w:firstLineChars="0"/>
                    <w:rPr>
                      <w:rFonts w:hint="default" w:ascii="Times New Roman" w:hAnsi="Times New Roman" w:cs="Times New Roman"/>
                      <w:color w:val="auto"/>
                      <w:kern w:val="0"/>
                      <w:szCs w:val="21"/>
                      <w:highlight w:val="none"/>
                    </w:rPr>
                  </w:pPr>
                </w:p>
              </w:tc>
              <w:tc>
                <w:tcPr>
                  <w:tcW w:w="1241"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Cs w:val="21"/>
                      <w:highlight w:val="none"/>
                      <w:lang w:val="en-US" w:eastAsia="zh-CN"/>
                    </w:rPr>
                    <w:t>泵</w:t>
                  </w:r>
                </w:p>
              </w:tc>
              <w:tc>
                <w:tcPr>
                  <w:tcW w:w="1150"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70~80</w:t>
                  </w:r>
                </w:p>
              </w:tc>
              <w:tc>
                <w:tcPr>
                  <w:tcW w:w="684"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1166" w:type="dxa"/>
                  <w:vMerge w:val="continue"/>
                  <w:tcBorders>
                    <w:tl2br w:val="nil"/>
                    <w:tr2bl w:val="nil"/>
                  </w:tcBorders>
                  <w:vAlign w:val="center"/>
                </w:tcPr>
                <w:p>
                  <w:pPr>
                    <w:pStyle w:val="16"/>
                    <w:ind w:left="0" w:leftChars="0" w:firstLine="0" w:firstLineChars="0"/>
                    <w:rPr>
                      <w:rFonts w:hint="default" w:ascii="Times New Roman" w:hAnsi="Times New Roman" w:cs="Times New Roman"/>
                      <w:color w:val="auto"/>
                      <w:szCs w:val="21"/>
                      <w:highlight w:val="none"/>
                    </w:rPr>
                  </w:pPr>
                </w:p>
              </w:tc>
              <w:tc>
                <w:tcPr>
                  <w:tcW w:w="1142"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w:t>
                  </w:r>
                </w:p>
              </w:tc>
              <w:tc>
                <w:tcPr>
                  <w:tcW w:w="910"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24</w:t>
                  </w:r>
                </w:p>
              </w:tc>
            </w:tr>
          </w:tbl>
          <w:p>
            <w:pPr>
              <w:bidi w:val="0"/>
              <w:rPr>
                <w:rFonts w:hint="default" w:ascii="Times New Roman" w:hAnsi="Times New Roman" w:cs="Times New Roman"/>
                <w:color w:val="auto"/>
                <w:highlight w:val="none"/>
                <w:lang w:eastAsia="zh-CN"/>
              </w:rPr>
            </w:pPr>
            <w:bookmarkStart w:id="17" w:name="_Toc2598"/>
            <w:bookmarkStart w:id="18" w:name="_Toc21104"/>
            <w:bookmarkStart w:id="19" w:name="_Toc15502"/>
          </w:p>
          <w:p>
            <w:pPr>
              <w:pStyle w:val="15"/>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项目主要设备与厂界距离一览表</w:t>
            </w:r>
          </w:p>
          <w:tbl>
            <w:tblPr>
              <w:tblStyle w:val="11"/>
              <w:tblW w:w="8407"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66"/>
              <w:gridCol w:w="1075"/>
              <w:gridCol w:w="1012"/>
              <w:gridCol w:w="997"/>
              <w:gridCol w:w="1094"/>
              <w:gridCol w:w="947"/>
              <w:gridCol w:w="115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gridSpan w:val="2"/>
                  <w:vMerge w:val="restart"/>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噪声源名称</w:t>
                  </w:r>
                </w:p>
              </w:tc>
              <w:tc>
                <w:tcPr>
                  <w:tcW w:w="1075" w:type="dxa"/>
                  <w:vMerge w:val="restart"/>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治理后声级dB(A)</w:t>
                  </w:r>
                </w:p>
              </w:tc>
              <w:tc>
                <w:tcPr>
                  <w:tcW w:w="5201" w:type="dxa"/>
                  <w:gridSpan w:val="5"/>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与预测点距离（m）</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31" w:type="dxa"/>
                  <w:gridSpan w:val="2"/>
                  <w:vMerge w:val="continue"/>
                  <w:tcBorders>
                    <w:tl2br w:val="nil"/>
                    <w:tr2bl w:val="nil"/>
                  </w:tcBorders>
                  <w:vAlign w:val="center"/>
                </w:tcPr>
                <w:p>
                  <w:pPr>
                    <w:pStyle w:val="16"/>
                    <w:rPr>
                      <w:rFonts w:hint="default" w:ascii="Times New Roman" w:hAnsi="Times New Roman" w:cs="Times New Roman"/>
                      <w:color w:val="auto"/>
                      <w:highlight w:val="none"/>
                    </w:rPr>
                  </w:pPr>
                </w:p>
              </w:tc>
              <w:tc>
                <w:tcPr>
                  <w:tcW w:w="1075" w:type="dxa"/>
                  <w:vMerge w:val="continue"/>
                  <w:tcBorders>
                    <w:tl2br w:val="nil"/>
                    <w:tr2bl w:val="nil"/>
                  </w:tcBorders>
                  <w:vAlign w:val="center"/>
                </w:tcPr>
                <w:p>
                  <w:pPr>
                    <w:pStyle w:val="16"/>
                    <w:rPr>
                      <w:rFonts w:hint="default" w:ascii="Times New Roman" w:hAnsi="Times New Roman" w:cs="Times New Roman"/>
                      <w:color w:val="auto"/>
                      <w:highlight w:val="none"/>
                    </w:rPr>
                  </w:pPr>
                </w:p>
              </w:tc>
              <w:tc>
                <w:tcPr>
                  <w:tcW w:w="1012"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北厂界</w:t>
                  </w:r>
                </w:p>
              </w:tc>
              <w:tc>
                <w:tcPr>
                  <w:tcW w:w="997"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南厂界</w:t>
                  </w:r>
                </w:p>
              </w:tc>
              <w:tc>
                <w:tcPr>
                  <w:tcW w:w="1094"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西厂界</w:t>
                  </w:r>
                </w:p>
              </w:tc>
              <w:tc>
                <w:tcPr>
                  <w:tcW w:w="947"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东厂界</w:t>
                  </w:r>
                </w:p>
              </w:tc>
              <w:tc>
                <w:tcPr>
                  <w:tcW w:w="1151"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海天广场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5" w:type="dxa"/>
                  <w:vMerge w:val="restart"/>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kern w:val="0"/>
                      <w:szCs w:val="21"/>
                      <w:highlight w:val="none"/>
                      <w:lang w:val="en-US" w:eastAsia="zh-CN"/>
                    </w:rPr>
                    <w:t>DMF废液回收处理设备（1）</w:t>
                  </w:r>
                </w:p>
              </w:tc>
              <w:tc>
                <w:tcPr>
                  <w:tcW w:w="1066" w:type="dxa"/>
                  <w:tcBorders>
                    <w:tl2br w:val="nil"/>
                    <w:tr2bl w:val="nil"/>
                  </w:tcBorders>
                  <w:vAlign w:val="center"/>
                </w:tcPr>
                <w:p>
                  <w:pPr>
                    <w:pStyle w:val="16"/>
                    <w:ind w:left="0" w:leftChars="0" w:firstLine="0" w:firstLineChars="0"/>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泵</w:t>
                  </w:r>
                </w:p>
              </w:tc>
              <w:tc>
                <w:tcPr>
                  <w:tcW w:w="1075" w:type="dxa"/>
                  <w:tcBorders>
                    <w:tl2br w:val="nil"/>
                    <w:tr2bl w:val="nil"/>
                  </w:tcBorders>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1012"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28</w:t>
                  </w:r>
                </w:p>
              </w:tc>
              <w:tc>
                <w:tcPr>
                  <w:tcW w:w="997"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112</w:t>
                  </w:r>
                </w:p>
              </w:tc>
              <w:tc>
                <w:tcPr>
                  <w:tcW w:w="1094"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47</w:t>
                  </w:r>
                </w:p>
              </w:tc>
              <w:tc>
                <w:tcPr>
                  <w:tcW w:w="947"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87</w:t>
                  </w:r>
                </w:p>
              </w:tc>
              <w:tc>
                <w:tcPr>
                  <w:tcW w:w="1151"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133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5" w:type="dxa"/>
                  <w:vMerge w:val="continue"/>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rPr>
                  </w:pPr>
                </w:p>
              </w:tc>
              <w:tc>
                <w:tcPr>
                  <w:tcW w:w="1066" w:type="dxa"/>
                  <w:tcBorders>
                    <w:tl2br w:val="nil"/>
                    <w:tr2bl w:val="nil"/>
                  </w:tcBorders>
                  <w:vAlign w:val="center"/>
                </w:tcPr>
                <w:p>
                  <w:pPr>
                    <w:pStyle w:val="16"/>
                    <w:ind w:left="0" w:leftChars="0" w:firstLine="0" w:firstLineChars="0"/>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超重力床</w:t>
                  </w:r>
                </w:p>
              </w:tc>
              <w:tc>
                <w:tcPr>
                  <w:tcW w:w="1075" w:type="dxa"/>
                  <w:tcBorders>
                    <w:tl2br w:val="nil"/>
                    <w:tr2bl w:val="nil"/>
                  </w:tcBorders>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70</w:t>
                  </w:r>
                </w:p>
              </w:tc>
              <w:tc>
                <w:tcPr>
                  <w:tcW w:w="1012"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28</w:t>
                  </w:r>
                </w:p>
              </w:tc>
              <w:tc>
                <w:tcPr>
                  <w:tcW w:w="997"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112</w:t>
                  </w:r>
                </w:p>
              </w:tc>
              <w:tc>
                <w:tcPr>
                  <w:tcW w:w="1094"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47</w:t>
                  </w:r>
                </w:p>
              </w:tc>
              <w:tc>
                <w:tcPr>
                  <w:tcW w:w="947"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87</w:t>
                  </w:r>
                </w:p>
              </w:tc>
              <w:tc>
                <w:tcPr>
                  <w:tcW w:w="1151"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133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5" w:type="dxa"/>
                  <w:vMerge w:val="continue"/>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rPr>
                  </w:pPr>
                </w:p>
              </w:tc>
              <w:tc>
                <w:tcPr>
                  <w:tcW w:w="1066" w:type="dxa"/>
                  <w:tcBorders>
                    <w:tl2br w:val="nil"/>
                    <w:tr2bl w:val="nil"/>
                  </w:tcBorders>
                  <w:vAlign w:val="center"/>
                </w:tcPr>
                <w:p>
                  <w:pPr>
                    <w:pStyle w:val="16"/>
                    <w:ind w:left="0" w:leftChars="0" w:firstLine="0" w:firstLineChars="0"/>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泵</w:t>
                  </w:r>
                </w:p>
              </w:tc>
              <w:tc>
                <w:tcPr>
                  <w:tcW w:w="1075" w:type="dxa"/>
                  <w:tcBorders>
                    <w:tl2br w:val="nil"/>
                    <w:tr2bl w:val="nil"/>
                  </w:tcBorders>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1012"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122</w:t>
                  </w:r>
                </w:p>
              </w:tc>
              <w:tc>
                <w:tcPr>
                  <w:tcW w:w="997"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18</w:t>
                  </w:r>
                </w:p>
              </w:tc>
              <w:tc>
                <w:tcPr>
                  <w:tcW w:w="1094"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41</w:t>
                  </w:r>
                </w:p>
              </w:tc>
              <w:tc>
                <w:tcPr>
                  <w:tcW w:w="947"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94</w:t>
                  </w:r>
                </w:p>
              </w:tc>
              <w:tc>
                <w:tcPr>
                  <w:tcW w:w="1151"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198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5" w:type="dxa"/>
                  <w:vMerge w:val="continue"/>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rPr>
                  </w:pPr>
                </w:p>
              </w:tc>
              <w:tc>
                <w:tcPr>
                  <w:tcW w:w="1066" w:type="dxa"/>
                  <w:tcBorders>
                    <w:tl2br w:val="nil"/>
                    <w:tr2bl w:val="nil"/>
                  </w:tcBorders>
                  <w:vAlign w:val="center"/>
                </w:tcPr>
                <w:p>
                  <w:pPr>
                    <w:pStyle w:val="16"/>
                    <w:ind w:left="0" w:leftChars="0" w:firstLine="0" w:firstLineChars="0"/>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泵</w:t>
                  </w:r>
                </w:p>
              </w:tc>
              <w:tc>
                <w:tcPr>
                  <w:tcW w:w="1075" w:type="dxa"/>
                  <w:tcBorders>
                    <w:tl2br w:val="nil"/>
                    <w:tr2bl w:val="nil"/>
                  </w:tcBorders>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1012"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73</w:t>
                  </w:r>
                </w:p>
              </w:tc>
              <w:tc>
                <w:tcPr>
                  <w:tcW w:w="997"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67</w:t>
                  </w:r>
                </w:p>
              </w:tc>
              <w:tc>
                <w:tcPr>
                  <w:tcW w:w="1094"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15</w:t>
                  </w:r>
                </w:p>
              </w:tc>
              <w:tc>
                <w:tcPr>
                  <w:tcW w:w="947"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120</w:t>
                  </w:r>
                </w:p>
              </w:tc>
              <w:tc>
                <w:tcPr>
                  <w:tcW w:w="1151"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184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5" w:type="dxa"/>
                  <w:vMerge w:val="restart"/>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kern w:val="0"/>
                      <w:szCs w:val="21"/>
                      <w:highlight w:val="none"/>
                      <w:lang w:val="en-US" w:eastAsia="zh-CN"/>
                    </w:rPr>
                    <w:t>DMF废液回收处理设备（2）</w:t>
                  </w:r>
                </w:p>
              </w:tc>
              <w:tc>
                <w:tcPr>
                  <w:tcW w:w="1066"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Cs w:val="21"/>
                      <w:highlight w:val="none"/>
                      <w:lang w:val="en-US" w:eastAsia="zh-CN"/>
                    </w:rPr>
                    <w:t>泵</w:t>
                  </w:r>
                </w:p>
              </w:tc>
              <w:tc>
                <w:tcPr>
                  <w:tcW w:w="1075" w:type="dxa"/>
                  <w:tcBorders>
                    <w:tl2br w:val="nil"/>
                    <w:tr2bl w:val="nil"/>
                  </w:tcBorders>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1012"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87</w:t>
                  </w:r>
                </w:p>
              </w:tc>
              <w:tc>
                <w:tcPr>
                  <w:tcW w:w="997"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53</w:t>
                  </w:r>
                </w:p>
              </w:tc>
              <w:tc>
                <w:tcPr>
                  <w:tcW w:w="1094"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34</w:t>
                  </w:r>
                </w:p>
              </w:tc>
              <w:tc>
                <w:tcPr>
                  <w:tcW w:w="947"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101</w:t>
                  </w:r>
                </w:p>
              </w:tc>
              <w:tc>
                <w:tcPr>
                  <w:tcW w:w="1151"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177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5" w:type="dxa"/>
                  <w:vMerge w:val="continue"/>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rPr>
                  </w:pPr>
                </w:p>
              </w:tc>
              <w:tc>
                <w:tcPr>
                  <w:tcW w:w="1066"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Cs w:val="21"/>
                      <w:highlight w:val="none"/>
                      <w:lang w:val="en-US" w:eastAsia="zh-CN"/>
                    </w:rPr>
                    <w:t>超重力床</w:t>
                  </w:r>
                </w:p>
              </w:tc>
              <w:tc>
                <w:tcPr>
                  <w:tcW w:w="1075" w:type="dxa"/>
                  <w:tcBorders>
                    <w:tl2br w:val="nil"/>
                    <w:tr2bl w:val="nil"/>
                  </w:tcBorders>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70</w:t>
                  </w:r>
                </w:p>
              </w:tc>
              <w:tc>
                <w:tcPr>
                  <w:tcW w:w="1012"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87</w:t>
                  </w:r>
                </w:p>
              </w:tc>
              <w:tc>
                <w:tcPr>
                  <w:tcW w:w="997"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53</w:t>
                  </w:r>
                </w:p>
              </w:tc>
              <w:tc>
                <w:tcPr>
                  <w:tcW w:w="1094"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34</w:t>
                  </w:r>
                </w:p>
              </w:tc>
              <w:tc>
                <w:tcPr>
                  <w:tcW w:w="947"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101</w:t>
                  </w:r>
                </w:p>
              </w:tc>
              <w:tc>
                <w:tcPr>
                  <w:tcW w:w="1151"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177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5" w:type="dxa"/>
                  <w:vMerge w:val="continue"/>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rPr>
                  </w:pPr>
                </w:p>
              </w:tc>
              <w:tc>
                <w:tcPr>
                  <w:tcW w:w="1066"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Cs w:val="21"/>
                      <w:highlight w:val="none"/>
                      <w:lang w:val="en-US" w:eastAsia="zh-CN"/>
                    </w:rPr>
                    <w:t>泵</w:t>
                  </w:r>
                </w:p>
              </w:tc>
              <w:tc>
                <w:tcPr>
                  <w:tcW w:w="1075" w:type="dxa"/>
                  <w:tcBorders>
                    <w:tl2br w:val="nil"/>
                    <w:tr2bl w:val="nil"/>
                  </w:tcBorders>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1012"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122</w:t>
                  </w:r>
                </w:p>
              </w:tc>
              <w:tc>
                <w:tcPr>
                  <w:tcW w:w="997"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18</w:t>
                  </w:r>
                </w:p>
              </w:tc>
              <w:tc>
                <w:tcPr>
                  <w:tcW w:w="1094"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41</w:t>
                  </w:r>
                </w:p>
              </w:tc>
              <w:tc>
                <w:tcPr>
                  <w:tcW w:w="947"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94</w:t>
                  </w:r>
                </w:p>
              </w:tc>
              <w:tc>
                <w:tcPr>
                  <w:tcW w:w="1151" w:type="dxa"/>
                  <w:tcBorders>
                    <w:tl2br w:val="nil"/>
                    <w:tr2bl w:val="nil"/>
                  </w:tcBorders>
                  <w:vAlign w:val="center"/>
                </w:tcPr>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198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5" w:type="dxa"/>
                  <w:vMerge w:val="continue"/>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rPr>
                  </w:pPr>
                </w:p>
              </w:tc>
              <w:tc>
                <w:tcPr>
                  <w:tcW w:w="1066"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Cs w:val="21"/>
                      <w:highlight w:val="none"/>
                      <w:lang w:val="en-US" w:eastAsia="zh-CN"/>
                    </w:rPr>
                    <w:t>泵</w:t>
                  </w:r>
                </w:p>
              </w:tc>
              <w:tc>
                <w:tcPr>
                  <w:tcW w:w="1075" w:type="dxa"/>
                  <w:tcBorders>
                    <w:tl2br w:val="nil"/>
                    <w:tr2bl w:val="nil"/>
                  </w:tcBorders>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1012"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73</w:t>
                  </w:r>
                </w:p>
              </w:tc>
              <w:tc>
                <w:tcPr>
                  <w:tcW w:w="997"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67</w:t>
                  </w:r>
                </w:p>
              </w:tc>
              <w:tc>
                <w:tcPr>
                  <w:tcW w:w="1094"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15</w:t>
                  </w:r>
                </w:p>
              </w:tc>
              <w:tc>
                <w:tcPr>
                  <w:tcW w:w="947"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120</w:t>
                  </w:r>
                </w:p>
              </w:tc>
              <w:tc>
                <w:tcPr>
                  <w:tcW w:w="1151" w:type="dxa"/>
                  <w:tcBorders>
                    <w:tl2br w:val="nil"/>
                    <w:tr2bl w:val="nil"/>
                  </w:tcBorders>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184</w:t>
                  </w:r>
                </w:p>
              </w:tc>
            </w:tr>
          </w:tbl>
          <w:p>
            <w:pPr>
              <w:pStyle w:val="16"/>
              <w:rPr>
                <w:rFonts w:hint="default" w:ascii="Times New Roman" w:hAnsi="Times New Roman" w:cs="Times New Roman"/>
                <w:color w:val="auto"/>
                <w:highlight w:val="none"/>
                <w:lang w:eastAsia="zh-CN"/>
              </w:rPr>
            </w:pPr>
          </w:p>
          <w:p>
            <w:pPr>
              <w:pStyle w:val="5"/>
              <w:numPr>
                <w:ilvl w:val="0"/>
                <w:numId w:val="0"/>
              </w:numPr>
              <w:ind w:left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运营期</w:t>
            </w:r>
            <w:bookmarkEnd w:id="17"/>
            <w:bookmarkEnd w:id="18"/>
            <w:bookmarkEnd w:id="19"/>
            <w:r>
              <w:rPr>
                <w:rFonts w:hint="default" w:ascii="Times New Roman" w:hAnsi="Times New Roman" w:cs="Times New Roman"/>
                <w:color w:val="auto"/>
                <w:highlight w:val="none"/>
              </w:rPr>
              <w:t>噪声预测模式</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 声环境》（HJ2.4-2021）的技术要求，本次评价采取导则推荐模式。</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①</w:t>
            </w:r>
            <w:r>
              <w:rPr>
                <w:rFonts w:hint="default" w:ascii="Times New Roman" w:hAnsi="Times New Roman" w:cs="Times New Roman"/>
                <w:color w:val="auto"/>
                <w:highlight w:val="none"/>
              </w:rPr>
              <w:t>声级的计算</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声源在预测点产生的</w:t>
            </w:r>
            <w:r>
              <w:rPr>
                <w:rFonts w:hint="default" w:ascii="Times New Roman" w:hAnsi="Times New Roman" w:cs="Times New Roman"/>
                <w:color w:val="auto"/>
                <w:highlight w:val="none"/>
                <w:lang w:eastAsia="zh-CN"/>
              </w:rPr>
              <w:t>噪声</w:t>
            </w:r>
            <w:r>
              <w:rPr>
                <w:rFonts w:hint="default" w:ascii="Times New Roman" w:hAnsi="Times New Roman" w:cs="Times New Roman"/>
                <w:color w:val="auto"/>
                <w:highlight w:val="none"/>
              </w:rPr>
              <w:t>贡献值</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L</w:t>
            </w:r>
            <w:r>
              <w:rPr>
                <w:rFonts w:hint="default" w:ascii="Times New Roman" w:hAnsi="Times New Roman" w:cs="Times New Roman"/>
                <w:color w:val="auto"/>
                <w:highlight w:val="none"/>
                <w:vertAlign w:val="subscript"/>
              </w:rPr>
              <w:t>eqg</w:t>
            </w:r>
            <w:r>
              <w:rPr>
                <w:rFonts w:hint="default" w:ascii="Times New Roman" w:hAnsi="Times New Roman" w:cs="Times New Roman"/>
                <w:color w:val="auto"/>
                <w:highlight w:val="none"/>
                <w:vertAlign w:val="subscript"/>
                <w:lang w:eastAsia="zh-CN"/>
              </w:rPr>
              <w:t>）</w:t>
            </w:r>
            <w:r>
              <w:rPr>
                <w:rFonts w:hint="default" w:ascii="Times New Roman" w:hAnsi="Times New Roman" w:cs="Times New Roman"/>
                <w:color w:val="auto"/>
                <w:highlight w:val="none"/>
              </w:rPr>
              <w:t>计算公式：</w:t>
            </w:r>
          </w:p>
          <w:p>
            <w:pPr>
              <w:pStyle w:val="5"/>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4"/>
                <w:szCs w:val="22"/>
                <w:highlight w:val="none"/>
              </w:rPr>
              <w:object>
                <v:shape id="_x0000_i1025" o:spt="75" type="#_x0000_t75" style="height:35.95pt;width:116pt;" o:ole="t" fillcolor="#000011" filled="f" stroked="f" coordsize="21600,21600">
                  <v:path/>
                  <v:fill on="f" focussize="0,0"/>
                  <v:stroke on="f"/>
                  <v:imagedata r:id="rId26" o:title=""/>
                  <o:lock v:ext="edit" grouping="f" rotation="f" text="f" aspectratio="t"/>
                  <w10:wrap type="none"/>
                  <w10:anchorlock/>
                </v:shape>
                <o:OLEObject Type="Embed" ProgID="Equation.3" ShapeID="_x0000_i1025" DrawAspect="Content" ObjectID="_1468075725" r:id="rId25">
                  <o:LockedField>false</o:LockedField>
                </o:OLEObject>
              </w:object>
            </w:r>
            <w:r>
              <w:rPr>
                <w:rFonts w:hint="default" w:ascii="Times New Roman" w:hAnsi="Times New Roman" w:cs="Times New Roman"/>
                <w:color w:val="auto"/>
                <w:highlight w:val="none"/>
                <w:lang w:val="en-US" w:eastAsia="zh-CN"/>
              </w:rPr>
              <w:t xml:space="preserve">                 （1）</w:t>
            </w:r>
          </w:p>
          <w:p>
            <w:pPr>
              <w:pStyle w:val="5"/>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r>
              <w:rPr>
                <w:rFonts w:hint="default" w:ascii="Times New Roman" w:hAnsi="Times New Roman" w:cs="Times New Roman"/>
                <w:color w:val="auto"/>
                <w:highlight w:val="none"/>
                <w:vertAlign w:val="baseline"/>
              </w:rPr>
              <w:t>L</w:t>
            </w:r>
            <w:r>
              <w:rPr>
                <w:rFonts w:hint="default" w:ascii="Times New Roman" w:hAnsi="Times New Roman" w:cs="Times New Roman"/>
                <w:color w:val="auto"/>
                <w:highlight w:val="none"/>
                <w:vertAlign w:val="subscript"/>
              </w:rPr>
              <w:t>eqg</w:t>
            </w:r>
            <w:r>
              <w:rPr>
                <w:rFonts w:hint="default" w:ascii="Times New Roman" w:hAnsi="Times New Roman" w:cs="Times New Roman"/>
                <w:color w:val="auto"/>
                <w:highlight w:val="none"/>
              </w:rPr>
              <w:t>—噪声贡献值，dB(A)；</w:t>
            </w:r>
          </w:p>
          <w:p>
            <w:pPr>
              <w:pStyle w:val="5"/>
              <w:ind w:firstLine="720" w:firstLineChars="300"/>
              <w:rPr>
                <w:rFonts w:hint="default" w:ascii="Times New Roman" w:hAnsi="Times New Roman" w:cs="Times New Roman"/>
                <w:color w:val="auto"/>
                <w:highlight w:val="none"/>
              </w:rPr>
            </w:pPr>
            <w:r>
              <w:rPr>
                <w:rFonts w:hint="default" w:ascii="Times New Roman" w:hAnsi="Times New Roman" w:cs="Times New Roman"/>
                <w:color w:val="auto"/>
                <w:highlight w:val="none"/>
              </w:rPr>
              <w:t>L</w:t>
            </w:r>
            <w:r>
              <w:rPr>
                <w:rFonts w:hint="default" w:ascii="Times New Roman" w:hAnsi="Times New Roman" w:cs="Times New Roman"/>
                <w:color w:val="auto"/>
                <w:highlight w:val="none"/>
                <w:vertAlign w:val="subscript"/>
              </w:rPr>
              <w:t>Ai</w:t>
            </w:r>
            <w:r>
              <w:rPr>
                <w:rFonts w:hint="default" w:ascii="Times New Roman" w:hAnsi="Times New Roman" w:cs="Times New Roman"/>
                <w:color w:val="auto"/>
                <w:highlight w:val="none"/>
              </w:rPr>
              <w:t>—i声源在预测点产生的等效连续A声级，dB(A)；</w:t>
            </w:r>
          </w:p>
          <w:p>
            <w:pPr>
              <w:pStyle w:val="5"/>
              <w:ind w:firstLine="720" w:firstLineChars="300"/>
              <w:rPr>
                <w:rFonts w:hint="default" w:ascii="Times New Roman" w:hAnsi="Times New Roman" w:cs="Times New Roman"/>
                <w:color w:val="auto"/>
                <w:highlight w:val="none"/>
              </w:rPr>
            </w:pPr>
            <w:r>
              <w:rPr>
                <w:rFonts w:hint="default" w:ascii="Times New Roman" w:hAnsi="Times New Roman" w:cs="Times New Roman"/>
                <w:color w:val="auto"/>
                <w:highlight w:val="none"/>
              </w:rPr>
              <w:t>T—预测计算的时间段，s；</w:t>
            </w:r>
          </w:p>
          <w:p>
            <w:pPr>
              <w:pStyle w:val="5"/>
              <w:ind w:firstLine="720" w:firstLineChars="300"/>
              <w:rPr>
                <w:rFonts w:hint="default" w:ascii="Times New Roman" w:hAnsi="Times New Roman" w:cs="Times New Roman"/>
                <w:color w:val="auto"/>
                <w:highlight w:val="none"/>
              </w:rPr>
            </w:pPr>
            <w:r>
              <w:rPr>
                <w:rFonts w:hint="default" w:ascii="Times New Roman" w:hAnsi="Times New Roman" w:cs="Times New Roman"/>
                <w:color w:val="auto"/>
                <w:highlight w:val="none"/>
              </w:rPr>
              <w:t>t</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—i声源在T时段内的运行时间，s。</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预测点的噪声预测值</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Leq</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计算公式：</w:t>
            </w:r>
          </w:p>
          <w:p>
            <w:pPr>
              <w:pStyle w:val="5"/>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drawing>
                <wp:inline distT="0" distB="0" distL="114300" distR="114300">
                  <wp:extent cx="1964055" cy="313690"/>
                  <wp:effectExtent l="0" t="0" r="17145" b="1016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7"/>
                          <a:stretch>
                            <a:fillRect/>
                          </a:stretch>
                        </pic:blipFill>
                        <pic:spPr>
                          <a:xfrm>
                            <a:off x="0" y="0"/>
                            <a:ext cx="1964055" cy="313690"/>
                          </a:xfrm>
                          <a:prstGeom prst="rect">
                            <a:avLst/>
                          </a:prstGeom>
                          <a:noFill/>
                          <a:ln w="9525">
                            <a:noFill/>
                          </a:ln>
                        </pic:spPr>
                      </pic:pic>
                    </a:graphicData>
                  </a:graphic>
                </wp:inline>
              </w:drawing>
            </w:r>
            <w:r>
              <w:rPr>
                <w:rFonts w:hint="default" w:ascii="Times New Roman" w:hAnsi="Times New Roman" w:cs="Times New Roman"/>
                <w:color w:val="auto"/>
                <w:highlight w:val="none"/>
                <w:lang w:val="en-US" w:eastAsia="zh-CN"/>
              </w:rPr>
              <w:t xml:space="preserve">               （2）</w:t>
            </w:r>
          </w:p>
          <w:p>
            <w:pPr>
              <w:pStyle w:val="5"/>
              <w:ind w:left="0" w:leftChars="0" w:firstLine="0" w:firstLineChars="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式中：L</w:t>
            </w:r>
            <w:r>
              <w:rPr>
                <w:rFonts w:hint="default" w:ascii="Times New Roman" w:hAnsi="Times New Roman" w:cs="Times New Roman"/>
                <w:color w:val="auto"/>
                <w:highlight w:val="none"/>
                <w:vertAlign w:val="subscript"/>
                <w:lang w:eastAsia="zh-CN"/>
              </w:rPr>
              <w:t>eqg</w:t>
            </w:r>
            <w:r>
              <w:rPr>
                <w:rFonts w:hint="default" w:ascii="Times New Roman" w:hAnsi="Times New Roman" w:cs="Times New Roman"/>
                <w:color w:val="auto"/>
                <w:highlight w:val="none"/>
                <w:lang w:eastAsia="zh-CN"/>
              </w:rPr>
              <w:t>—建设项目声源在预测点的等效声级贡献值，dB(A)；</w:t>
            </w:r>
          </w:p>
          <w:p>
            <w:pPr>
              <w:pStyle w:val="5"/>
              <w:ind w:left="0" w:leftChars="0" w:firstLine="720" w:firstLineChars="300"/>
              <w:jc w:val="both"/>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L</w:t>
            </w:r>
            <w:r>
              <w:rPr>
                <w:rFonts w:hint="default" w:ascii="Times New Roman" w:hAnsi="Times New Roman" w:cs="Times New Roman"/>
                <w:color w:val="auto"/>
                <w:highlight w:val="none"/>
                <w:vertAlign w:val="subscript"/>
                <w:lang w:eastAsia="zh-CN"/>
              </w:rPr>
              <w:t>sqb</w:t>
            </w:r>
            <w:r>
              <w:rPr>
                <w:rFonts w:hint="default" w:ascii="Times New Roman" w:hAnsi="Times New Roman" w:cs="Times New Roman"/>
                <w:color w:val="auto"/>
                <w:highlight w:val="none"/>
                <w:lang w:eastAsia="zh-CN"/>
              </w:rPr>
              <w:t>—预测点的背景值，dB(A)。</w:t>
            </w:r>
          </w:p>
          <w:p>
            <w:pPr>
              <w:pStyle w:val="5"/>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②</w:t>
            </w:r>
            <w:r>
              <w:rPr>
                <w:rFonts w:hint="default" w:ascii="Times New Roman" w:hAnsi="Times New Roman" w:cs="Times New Roman"/>
                <w:color w:val="auto"/>
                <w:highlight w:val="none"/>
                <w:lang w:eastAsia="zh-CN"/>
              </w:rPr>
              <w:t>户外声传播基本公式</w:t>
            </w:r>
          </w:p>
          <w:p>
            <w:pPr>
              <w:pStyle w:val="5"/>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户外声传播衰减包括几何发散（Adiv）、大气吸收（Aatm）、地面效应（Agr）、屏障屏蔽（Abar）、其他多方面效应（Amisc）引起的衰减。本次预测计算中只考虑各设备声源至受声点（预测点）的距离衰减、隔墙（或窗户）的传输损失及降噪设备引起的噪声衰减。</w:t>
            </w:r>
          </w:p>
          <w:p>
            <w:pPr>
              <w:pStyle w:val="5"/>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A.在环境影响评价中，应根据声源声功率级或参考位置处的声压级、户外声传播衰减，计算预测点的声级，用式（3）计算。</w:t>
            </w:r>
          </w:p>
          <w:p>
            <w:pPr>
              <w:pStyle w:val="5"/>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drawing>
                <wp:inline distT="0" distB="0" distL="114300" distR="114300">
                  <wp:extent cx="3253740" cy="353060"/>
                  <wp:effectExtent l="0" t="0" r="3810" b="889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8"/>
                          <a:stretch>
                            <a:fillRect/>
                          </a:stretch>
                        </pic:blipFill>
                        <pic:spPr>
                          <a:xfrm>
                            <a:off x="0" y="0"/>
                            <a:ext cx="3253740" cy="353060"/>
                          </a:xfrm>
                          <a:prstGeom prst="rect">
                            <a:avLst/>
                          </a:prstGeom>
                          <a:noFill/>
                          <a:ln w="9525">
                            <a:noFill/>
                          </a:ln>
                        </pic:spPr>
                      </pic:pic>
                    </a:graphicData>
                  </a:graphic>
                </wp:inline>
              </w:drawing>
            </w:r>
            <w:r>
              <w:rPr>
                <w:rFonts w:hint="default" w:ascii="Times New Roman" w:hAnsi="Times New Roman" w:cs="Times New Roman"/>
                <w:color w:val="auto"/>
                <w:highlight w:val="none"/>
                <w:lang w:val="en-US" w:eastAsia="zh-CN"/>
              </w:rPr>
              <w:t xml:space="preserve">   （3）</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B.在只考虑几何发散衰减时，可用公式（5）计算：</w:t>
            </w:r>
          </w:p>
          <w:p>
            <w:pPr>
              <w:pStyle w:val="5"/>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drawing>
                <wp:inline distT="0" distB="0" distL="114300" distR="114300">
                  <wp:extent cx="1670685" cy="259715"/>
                  <wp:effectExtent l="0" t="0" r="5715" b="698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9"/>
                          <a:stretch>
                            <a:fillRect/>
                          </a:stretch>
                        </pic:blipFill>
                        <pic:spPr>
                          <a:xfrm>
                            <a:off x="0" y="0"/>
                            <a:ext cx="1670685" cy="259715"/>
                          </a:xfrm>
                          <a:prstGeom prst="rect">
                            <a:avLst/>
                          </a:prstGeom>
                          <a:noFill/>
                          <a:ln>
                            <a:noFill/>
                          </a:ln>
                        </pic:spPr>
                      </pic:pic>
                    </a:graphicData>
                  </a:graphic>
                </wp:inline>
              </w:drawing>
            </w:r>
            <w:r>
              <w:rPr>
                <w:rFonts w:hint="default" w:ascii="Times New Roman" w:hAnsi="Times New Roman" w:cs="Times New Roman"/>
                <w:color w:val="auto"/>
                <w:highlight w:val="none"/>
                <w:lang w:val="en-US" w:eastAsia="zh-CN"/>
              </w:rPr>
              <w:t xml:space="preserve">                 （5）</w:t>
            </w:r>
          </w:p>
          <w:p>
            <w:pPr>
              <w:pStyle w:val="5"/>
              <w:bidi w:val="0"/>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式中：Lp(r</w:t>
            </w:r>
            <w:r>
              <w:rPr>
                <w:rFonts w:hint="default" w:ascii="Times New Roman" w:hAnsi="Times New Roman" w:cs="Times New Roman"/>
                <w:color w:val="auto"/>
                <w:highlight w:val="none"/>
                <w:vertAlign w:val="subscript"/>
              </w:rPr>
              <w:t>0</w:t>
            </w:r>
            <w:r>
              <w:rPr>
                <w:rFonts w:hint="default" w:ascii="Times New Roman" w:hAnsi="Times New Roman" w:cs="Times New Roman"/>
                <w:color w:val="auto"/>
                <w:highlight w:val="none"/>
              </w:rPr>
              <w:t>)—设备源声压级，dB；</w:t>
            </w:r>
          </w:p>
          <w:p>
            <w:pPr>
              <w:pStyle w:val="5"/>
              <w:bidi w:val="0"/>
              <w:ind w:firstLine="720" w:firstLineChars="300"/>
              <w:rPr>
                <w:rFonts w:hint="default" w:ascii="Times New Roman" w:hAnsi="Times New Roman" w:cs="Times New Roman"/>
                <w:color w:val="auto"/>
                <w:highlight w:val="none"/>
              </w:rPr>
            </w:pPr>
            <w:r>
              <w:rPr>
                <w:rFonts w:hint="default" w:ascii="Times New Roman" w:hAnsi="Times New Roman" w:cs="Times New Roman"/>
                <w:color w:val="auto"/>
                <w:highlight w:val="none"/>
              </w:rPr>
              <w:t>Lp(r)—距离r预测点声压级，dB。</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噪声预测及影响评价</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经预测，计算本项目新增固定设备噪声对</w:t>
            </w:r>
            <w:r>
              <w:rPr>
                <w:rFonts w:hint="default" w:ascii="Times New Roman" w:hAnsi="Times New Roman" w:cs="Times New Roman"/>
                <w:color w:val="auto"/>
                <w:highlight w:val="none"/>
                <w:lang w:eastAsia="zh-CN"/>
              </w:rPr>
              <w:t>厂界</w:t>
            </w:r>
            <w:r>
              <w:rPr>
                <w:rFonts w:hint="default" w:ascii="Times New Roman" w:hAnsi="Times New Roman" w:cs="Times New Roman"/>
                <w:color w:val="auto"/>
                <w:highlight w:val="none"/>
              </w:rPr>
              <w:t>影响贡献值，详见</w:t>
            </w:r>
            <w:r>
              <w:rPr>
                <w:rFonts w:hint="default" w:ascii="Times New Roman" w:hAnsi="Times New Roman" w:cs="Times New Roman"/>
                <w:color w:val="auto"/>
                <w:highlight w:val="none"/>
                <w:lang w:val="en-US" w:eastAsia="zh-CN"/>
              </w:rPr>
              <w:t>下表</w:t>
            </w:r>
            <w:r>
              <w:rPr>
                <w:rFonts w:hint="default" w:ascii="Times New Roman" w:hAnsi="Times New Roman" w:cs="Times New Roman"/>
                <w:color w:val="auto"/>
                <w:highlight w:val="none"/>
              </w:rPr>
              <w:t>。本次评价以厂界现状噪声值叠加贡献值，对</w:t>
            </w:r>
            <w:r>
              <w:rPr>
                <w:rFonts w:hint="default" w:ascii="Times New Roman" w:hAnsi="Times New Roman" w:cs="Times New Roman"/>
                <w:color w:val="auto"/>
                <w:highlight w:val="none"/>
                <w:lang w:val="en-US" w:eastAsia="zh-CN"/>
              </w:rPr>
              <w:t>本项目建成后</w:t>
            </w:r>
            <w:r>
              <w:rPr>
                <w:rFonts w:hint="default" w:ascii="Times New Roman" w:hAnsi="Times New Roman" w:cs="Times New Roman"/>
                <w:color w:val="auto"/>
                <w:highlight w:val="none"/>
              </w:rPr>
              <w:t>全厂运行时厂界噪声影响进行评价。</w:t>
            </w:r>
          </w:p>
          <w:p>
            <w:pPr>
              <w:pStyle w:val="15"/>
              <w:numPr>
                <w:ilvl w:val="7"/>
                <w:numId w:val="9"/>
              </w:numPr>
              <w:rPr>
                <w:rFonts w:hint="default" w:ascii="Times New Roman" w:hAnsi="Times New Roman" w:cs="Times New Roman"/>
                <w:color w:val="auto"/>
                <w:highlight w:val="none"/>
              </w:rPr>
            </w:pPr>
            <w:r>
              <w:rPr>
                <w:rFonts w:hint="default" w:ascii="Times New Roman" w:hAnsi="Times New Roman" w:cs="Times New Roman"/>
                <w:color w:val="auto"/>
                <w:highlight w:val="none"/>
              </w:rPr>
              <w:t>项目运营后厂界噪声预测结果</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单位：dB（A）</w:t>
            </w:r>
          </w:p>
          <w:tbl>
            <w:tblPr>
              <w:tblStyle w:val="11"/>
              <w:tblW w:w="8406"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09"/>
              <w:gridCol w:w="1238"/>
              <w:gridCol w:w="867"/>
              <w:gridCol w:w="767"/>
              <w:gridCol w:w="1063"/>
              <w:gridCol w:w="718"/>
              <w:gridCol w:w="718"/>
              <w:gridCol w:w="718"/>
              <w:gridCol w:w="720"/>
              <w:gridCol w:w="88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709" w:type="dxa"/>
                  <w:vMerge w:val="restart"/>
                  <w:tcBorders>
                    <w:tl2br w:val="nil"/>
                    <w:tr2bl w:val="nil"/>
                  </w:tcBorders>
                  <w:shd w:val="clear" w:color="auto" w:fill="auto"/>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编号</w:t>
                  </w:r>
                </w:p>
              </w:tc>
              <w:tc>
                <w:tcPr>
                  <w:tcW w:w="1238" w:type="dxa"/>
                  <w:vMerge w:val="restart"/>
                  <w:tcBorders>
                    <w:tl2br w:val="nil"/>
                    <w:tr2bl w:val="nil"/>
                  </w:tcBorders>
                  <w:shd w:val="clear" w:color="auto" w:fill="auto"/>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位置</w:t>
                  </w:r>
                </w:p>
              </w:tc>
              <w:tc>
                <w:tcPr>
                  <w:tcW w:w="867" w:type="dxa"/>
                  <w:vMerge w:val="restart"/>
                  <w:tcBorders>
                    <w:tl2br w:val="nil"/>
                    <w:tr2bl w:val="nil"/>
                  </w:tcBorders>
                  <w:shd w:val="clear" w:color="auto" w:fill="auto"/>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贡献值</w:t>
                  </w:r>
                </w:p>
              </w:tc>
              <w:tc>
                <w:tcPr>
                  <w:tcW w:w="1830" w:type="dxa"/>
                  <w:gridSpan w:val="2"/>
                  <w:tcBorders>
                    <w:tl2br w:val="nil"/>
                    <w:tr2bl w:val="nil"/>
                  </w:tcBorders>
                  <w:shd w:val="clear" w:color="auto" w:fill="auto"/>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厂界现状值</w:t>
                  </w:r>
                </w:p>
              </w:tc>
              <w:tc>
                <w:tcPr>
                  <w:tcW w:w="1436" w:type="dxa"/>
                  <w:gridSpan w:val="2"/>
                  <w:tcBorders>
                    <w:tl2br w:val="nil"/>
                    <w:tr2bl w:val="nil"/>
                  </w:tcBorders>
                  <w:shd w:val="clear" w:color="auto" w:fill="auto"/>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叠加值</w:t>
                  </w:r>
                </w:p>
              </w:tc>
              <w:tc>
                <w:tcPr>
                  <w:tcW w:w="1438" w:type="dxa"/>
                  <w:gridSpan w:val="2"/>
                  <w:tcBorders>
                    <w:tl2br w:val="nil"/>
                    <w:tr2bl w:val="nil"/>
                  </w:tcBorders>
                  <w:shd w:val="clear" w:color="auto" w:fill="auto"/>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执行标准</w:t>
                  </w:r>
                </w:p>
              </w:tc>
              <w:tc>
                <w:tcPr>
                  <w:tcW w:w="888" w:type="dxa"/>
                  <w:vMerge w:val="restart"/>
                  <w:tcBorders>
                    <w:tl2br w:val="nil"/>
                    <w:tr2bl w:val="nil"/>
                  </w:tcBorders>
                  <w:shd w:val="clear" w:color="auto" w:fill="auto"/>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709" w:type="dxa"/>
                  <w:vMerge w:val="continue"/>
                  <w:tcBorders>
                    <w:tl2br w:val="nil"/>
                    <w:tr2bl w:val="nil"/>
                  </w:tcBorders>
                  <w:shd w:val="clear" w:color="auto" w:fill="auto"/>
                  <w:vAlign w:val="center"/>
                </w:tcPr>
                <w:p>
                  <w:pPr>
                    <w:pStyle w:val="16"/>
                    <w:rPr>
                      <w:rFonts w:hint="default" w:ascii="Times New Roman" w:hAnsi="Times New Roman" w:cs="Times New Roman"/>
                      <w:color w:val="auto"/>
                      <w:sz w:val="21"/>
                      <w:szCs w:val="21"/>
                      <w:highlight w:val="none"/>
                    </w:rPr>
                  </w:pPr>
                </w:p>
              </w:tc>
              <w:tc>
                <w:tcPr>
                  <w:tcW w:w="1238" w:type="dxa"/>
                  <w:vMerge w:val="continue"/>
                  <w:tcBorders>
                    <w:tl2br w:val="nil"/>
                    <w:tr2bl w:val="nil"/>
                  </w:tcBorders>
                  <w:shd w:val="clear" w:color="auto" w:fill="auto"/>
                  <w:vAlign w:val="center"/>
                </w:tcPr>
                <w:p>
                  <w:pPr>
                    <w:pStyle w:val="16"/>
                    <w:rPr>
                      <w:rFonts w:hint="default" w:ascii="Times New Roman" w:hAnsi="Times New Roman" w:cs="Times New Roman"/>
                      <w:color w:val="auto"/>
                      <w:sz w:val="21"/>
                      <w:szCs w:val="21"/>
                      <w:highlight w:val="none"/>
                    </w:rPr>
                  </w:pPr>
                </w:p>
              </w:tc>
              <w:tc>
                <w:tcPr>
                  <w:tcW w:w="867" w:type="dxa"/>
                  <w:vMerge w:val="continue"/>
                  <w:tcBorders>
                    <w:tl2br w:val="nil"/>
                    <w:tr2bl w:val="nil"/>
                  </w:tcBorders>
                  <w:shd w:val="clear" w:color="auto" w:fill="auto"/>
                  <w:vAlign w:val="center"/>
                </w:tcPr>
                <w:p>
                  <w:pPr>
                    <w:pStyle w:val="16"/>
                    <w:rPr>
                      <w:rFonts w:hint="default" w:ascii="Times New Roman" w:hAnsi="Times New Roman" w:cs="Times New Roman"/>
                      <w:color w:val="auto"/>
                      <w:sz w:val="21"/>
                      <w:szCs w:val="21"/>
                      <w:highlight w:val="none"/>
                    </w:rPr>
                  </w:pPr>
                </w:p>
              </w:tc>
              <w:tc>
                <w:tcPr>
                  <w:tcW w:w="767" w:type="dxa"/>
                  <w:tcBorders>
                    <w:tl2br w:val="nil"/>
                    <w:tr2bl w:val="nil"/>
                  </w:tcBorders>
                  <w:shd w:val="clear" w:color="auto" w:fill="auto"/>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昼间</w:t>
                  </w:r>
                </w:p>
              </w:tc>
              <w:tc>
                <w:tcPr>
                  <w:tcW w:w="1063" w:type="dxa"/>
                  <w:tcBorders>
                    <w:tl2br w:val="nil"/>
                    <w:tr2bl w:val="nil"/>
                  </w:tcBorders>
                  <w:shd w:val="clear" w:color="auto" w:fill="auto"/>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夜间</w:t>
                  </w:r>
                </w:p>
              </w:tc>
              <w:tc>
                <w:tcPr>
                  <w:tcW w:w="718" w:type="dxa"/>
                  <w:tcBorders>
                    <w:tl2br w:val="nil"/>
                    <w:tr2bl w:val="nil"/>
                  </w:tcBorders>
                  <w:shd w:val="clear" w:color="auto" w:fill="auto"/>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昼间</w:t>
                  </w:r>
                </w:p>
              </w:tc>
              <w:tc>
                <w:tcPr>
                  <w:tcW w:w="718" w:type="dxa"/>
                  <w:tcBorders>
                    <w:tl2br w:val="nil"/>
                    <w:tr2bl w:val="nil"/>
                  </w:tcBorders>
                  <w:shd w:val="clear" w:color="auto" w:fill="auto"/>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夜间</w:t>
                  </w:r>
                </w:p>
              </w:tc>
              <w:tc>
                <w:tcPr>
                  <w:tcW w:w="718" w:type="dxa"/>
                  <w:tcBorders>
                    <w:tl2br w:val="nil"/>
                    <w:tr2bl w:val="nil"/>
                  </w:tcBorders>
                  <w:shd w:val="clear" w:color="auto" w:fill="auto"/>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昼间</w:t>
                  </w:r>
                </w:p>
              </w:tc>
              <w:tc>
                <w:tcPr>
                  <w:tcW w:w="720" w:type="dxa"/>
                  <w:tcBorders>
                    <w:tl2br w:val="nil"/>
                    <w:tr2bl w:val="nil"/>
                  </w:tcBorders>
                  <w:shd w:val="clear" w:color="auto" w:fill="auto"/>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夜间</w:t>
                  </w:r>
                </w:p>
              </w:tc>
              <w:tc>
                <w:tcPr>
                  <w:tcW w:w="888" w:type="dxa"/>
                  <w:vMerge w:val="continue"/>
                  <w:tcBorders>
                    <w:tl2br w:val="nil"/>
                    <w:tr2bl w:val="nil"/>
                  </w:tcBorders>
                  <w:shd w:val="clear" w:color="auto" w:fill="auto"/>
                  <w:vAlign w:val="center"/>
                </w:tcPr>
                <w:p>
                  <w:pPr>
                    <w:pStyle w:val="16"/>
                    <w:rPr>
                      <w:rFonts w:hint="default" w:ascii="Times New Roman" w:hAnsi="Times New Roman" w:cs="Times New Roman"/>
                      <w:color w:val="auto"/>
                      <w:sz w:val="21"/>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9" w:type="dxa"/>
                  <w:tcBorders>
                    <w:tl2br w:val="nil"/>
                    <w:tr2bl w:val="nil"/>
                  </w:tcBorders>
                  <w:shd w:val="clear" w:color="auto" w:fill="auto"/>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N1</w:t>
                  </w:r>
                </w:p>
              </w:tc>
              <w:tc>
                <w:tcPr>
                  <w:tcW w:w="1238" w:type="dxa"/>
                  <w:tcBorders>
                    <w:tl2br w:val="nil"/>
                    <w:tr2bl w:val="nil"/>
                  </w:tcBorders>
                  <w:shd w:val="clear" w:color="auto" w:fill="auto"/>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北侧厂界</w:t>
                  </w:r>
                </w:p>
              </w:tc>
              <w:tc>
                <w:tcPr>
                  <w:tcW w:w="8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46.8 </w:t>
                  </w:r>
                </w:p>
              </w:tc>
              <w:tc>
                <w:tcPr>
                  <w:tcW w:w="7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59.7</w:t>
                  </w:r>
                </w:p>
              </w:tc>
              <w:tc>
                <w:tcPr>
                  <w:tcW w:w="106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52.3</w:t>
                  </w:r>
                </w:p>
              </w:tc>
              <w:tc>
                <w:tcPr>
                  <w:tcW w:w="7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59.9 </w:t>
                  </w:r>
                </w:p>
              </w:tc>
              <w:tc>
                <w:tcPr>
                  <w:tcW w:w="7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53.4 </w:t>
                  </w:r>
                </w:p>
              </w:tc>
              <w:tc>
                <w:tcPr>
                  <w:tcW w:w="718" w:type="dxa"/>
                  <w:tcBorders>
                    <w:tl2br w:val="nil"/>
                    <w:tr2bl w:val="nil"/>
                  </w:tcBorders>
                  <w:shd w:val="clear" w:color="auto" w:fill="auto"/>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w:t>
                  </w:r>
                </w:p>
              </w:tc>
              <w:tc>
                <w:tcPr>
                  <w:tcW w:w="720" w:type="dxa"/>
                  <w:tcBorders>
                    <w:tl2br w:val="nil"/>
                    <w:tr2bl w:val="nil"/>
                  </w:tcBorders>
                  <w:shd w:val="clear" w:color="auto" w:fill="auto"/>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55</w:t>
                  </w:r>
                </w:p>
              </w:tc>
              <w:tc>
                <w:tcPr>
                  <w:tcW w:w="888" w:type="dxa"/>
                  <w:tcBorders>
                    <w:tl2br w:val="nil"/>
                    <w:tr2bl w:val="nil"/>
                  </w:tcBorders>
                  <w:shd w:val="clear" w:color="auto" w:fill="auto"/>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9" w:type="dxa"/>
                  <w:tcBorders>
                    <w:tl2br w:val="nil"/>
                    <w:tr2bl w:val="nil"/>
                  </w:tcBorders>
                  <w:shd w:val="clear" w:color="auto" w:fill="auto"/>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N2</w:t>
                  </w:r>
                </w:p>
              </w:tc>
              <w:tc>
                <w:tcPr>
                  <w:tcW w:w="1238" w:type="dxa"/>
                  <w:tcBorders>
                    <w:tl2br w:val="nil"/>
                    <w:tr2bl w:val="nil"/>
                  </w:tcBorders>
                  <w:shd w:val="clear" w:color="auto" w:fill="auto"/>
                  <w:vAlign w:val="center"/>
                </w:tcPr>
                <w:p>
                  <w:pPr>
                    <w:pStyle w:val="16"/>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东侧厂界</w:t>
                  </w:r>
                </w:p>
              </w:tc>
              <w:tc>
                <w:tcPr>
                  <w:tcW w:w="8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40.2 </w:t>
                  </w:r>
                </w:p>
              </w:tc>
              <w:tc>
                <w:tcPr>
                  <w:tcW w:w="7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61.3</w:t>
                  </w:r>
                </w:p>
              </w:tc>
              <w:tc>
                <w:tcPr>
                  <w:tcW w:w="106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50.1</w:t>
                  </w:r>
                </w:p>
              </w:tc>
              <w:tc>
                <w:tcPr>
                  <w:tcW w:w="7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61.3 </w:t>
                  </w:r>
                </w:p>
              </w:tc>
              <w:tc>
                <w:tcPr>
                  <w:tcW w:w="7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50.5 </w:t>
                  </w:r>
                </w:p>
              </w:tc>
              <w:tc>
                <w:tcPr>
                  <w:tcW w:w="718"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65</w:t>
                  </w:r>
                </w:p>
              </w:tc>
              <w:tc>
                <w:tcPr>
                  <w:tcW w:w="72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55</w:t>
                  </w:r>
                </w:p>
              </w:tc>
              <w:tc>
                <w:tcPr>
                  <w:tcW w:w="888" w:type="dxa"/>
                  <w:tcBorders>
                    <w:tl2br w:val="nil"/>
                    <w:tr2bl w:val="nil"/>
                  </w:tcBorders>
                  <w:shd w:val="clear" w:color="auto" w:fill="auto"/>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9" w:type="dxa"/>
                  <w:tcBorders>
                    <w:tl2br w:val="nil"/>
                    <w:tr2bl w:val="nil"/>
                  </w:tcBorders>
                  <w:shd w:val="clear" w:color="auto" w:fill="auto"/>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N3</w:t>
                  </w:r>
                </w:p>
              </w:tc>
              <w:tc>
                <w:tcPr>
                  <w:tcW w:w="1238" w:type="dxa"/>
                  <w:tcBorders>
                    <w:tl2br w:val="nil"/>
                    <w:tr2bl w:val="nil"/>
                  </w:tcBorders>
                  <w:shd w:val="clear" w:color="auto" w:fill="auto"/>
                  <w:vAlign w:val="center"/>
                </w:tcPr>
                <w:p>
                  <w:pPr>
                    <w:pStyle w:val="16"/>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南侧厂界</w:t>
                  </w:r>
                </w:p>
              </w:tc>
              <w:tc>
                <w:tcPr>
                  <w:tcW w:w="8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49.0 </w:t>
                  </w:r>
                </w:p>
              </w:tc>
              <w:tc>
                <w:tcPr>
                  <w:tcW w:w="7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58.6</w:t>
                  </w:r>
                </w:p>
              </w:tc>
              <w:tc>
                <w:tcPr>
                  <w:tcW w:w="106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49.7</w:t>
                  </w:r>
                </w:p>
              </w:tc>
              <w:tc>
                <w:tcPr>
                  <w:tcW w:w="7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59.1 </w:t>
                  </w:r>
                </w:p>
              </w:tc>
              <w:tc>
                <w:tcPr>
                  <w:tcW w:w="7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52.4 </w:t>
                  </w:r>
                </w:p>
              </w:tc>
              <w:tc>
                <w:tcPr>
                  <w:tcW w:w="718"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65</w:t>
                  </w:r>
                </w:p>
              </w:tc>
              <w:tc>
                <w:tcPr>
                  <w:tcW w:w="72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55</w:t>
                  </w:r>
                </w:p>
              </w:tc>
              <w:tc>
                <w:tcPr>
                  <w:tcW w:w="888" w:type="dxa"/>
                  <w:tcBorders>
                    <w:tl2br w:val="nil"/>
                    <w:tr2bl w:val="nil"/>
                  </w:tcBorders>
                  <w:shd w:val="clear" w:color="auto" w:fill="auto"/>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9" w:type="dxa"/>
                  <w:tcBorders>
                    <w:tl2br w:val="nil"/>
                    <w:tr2bl w:val="nil"/>
                  </w:tcBorders>
                  <w:shd w:val="clear" w:color="auto" w:fill="auto"/>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N4</w:t>
                  </w:r>
                </w:p>
              </w:tc>
              <w:tc>
                <w:tcPr>
                  <w:tcW w:w="1238" w:type="dxa"/>
                  <w:tcBorders>
                    <w:tl2br w:val="nil"/>
                    <w:tr2bl w:val="nil"/>
                  </w:tcBorders>
                  <w:shd w:val="clear" w:color="auto" w:fill="auto"/>
                  <w:vAlign w:val="center"/>
                </w:tcPr>
                <w:p>
                  <w:pPr>
                    <w:pStyle w:val="16"/>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西侧厂界</w:t>
                  </w:r>
                </w:p>
              </w:tc>
              <w:tc>
                <w:tcPr>
                  <w:tcW w:w="8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51.5 </w:t>
                  </w:r>
                </w:p>
              </w:tc>
              <w:tc>
                <w:tcPr>
                  <w:tcW w:w="7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62.1</w:t>
                  </w:r>
                </w:p>
              </w:tc>
              <w:tc>
                <w:tcPr>
                  <w:tcW w:w="106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51.4</w:t>
                  </w:r>
                </w:p>
              </w:tc>
              <w:tc>
                <w:tcPr>
                  <w:tcW w:w="7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62.5 </w:t>
                  </w:r>
                </w:p>
              </w:tc>
              <w:tc>
                <w:tcPr>
                  <w:tcW w:w="7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54.4 </w:t>
                  </w:r>
                </w:p>
              </w:tc>
              <w:tc>
                <w:tcPr>
                  <w:tcW w:w="718"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65</w:t>
                  </w:r>
                </w:p>
              </w:tc>
              <w:tc>
                <w:tcPr>
                  <w:tcW w:w="720" w:type="dxa"/>
                  <w:tcBorders>
                    <w:tl2br w:val="nil"/>
                    <w:tr2bl w:val="nil"/>
                  </w:tcBorders>
                  <w:shd w:val="clear" w:color="auto" w:fill="auto"/>
                  <w:vAlign w:val="center"/>
                </w:tcPr>
                <w:p>
                  <w:pPr>
                    <w:pStyle w:val="16"/>
                    <w:ind w:left="0" w:leftChars="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55</w:t>
                  </w:r>
                </w:p>
              </w:tc>
              <w:tc>
                <w:tcPr>
                  <w:tcW w:w="888" w:type="dxa"/>
                  <w:tcBorders>
                    <w:tl2br w:val="nil"/>
                    <w:tr2bl w:val="nil"/>
                  </w:tcBorders>
                  <w:shd w:val="clear" w:color="auto" w:fill="auto"/>
                  <w:vAlign w:val="center"/>
                </w:tcPr>
                <w:p>
                  <w:pPr>
                    <w:pStyle w:val="1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9" w:type="dxa"/>
                  <w:tcBorders>
                    <w:tl2br w:val="nil"/>
                    <w:tr2bl w:val="nil"/>
                  </w:tcBorders>
                  <w:shd w:val="clear" w:color="auto" w:fill="auto"/>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N5</w:t>
                  </w:r>
                </w:p>
              </w:tc>
              <w:tc>
                <w:tcPr>
                  <w:tcW w:w="1238" w:type="dxa"/>
                  <w:tcBorders>
                    <w:tl2br w:val="nil"/>
                    <w:tr2bl w:val="nil"/>
                  </w:tcBorders>
                  <w:shd w:val="clear" w:color="auto" w:fill="auto"/>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海天广场</w:t>
                  </w:r>
                </w:p>
              </w:tc>
              <w:tc>
                <w:tcPr>
                  <w:tcW w:w="8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42.96708</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76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57.2</w:t>
                  </w:r>
                </w:p>
              </w:tc>
              <w:tc>
                <w:tcPr>
                  <w:tcW w:w="106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44.3</w:t>
                  </w:r>
                </w:p>
              </w:tc>
              <w:tc>
                <w:tcPr>
                  <w:tcW w:w="7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57.2 </w:t>
                  </w:r>
                </w:p>
              </w:tc>
              <w:tc>
                <w:tcPr>
                  <w:tcW w:w="7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44.9 </w:t>
                  </w:r>
                </w:p>
              </w:tc>
              <w:tc>
                <w:tcPr>
                  <w:tcW w:w="718" w:type="dxa"/>
                  <w:tcBorders>
                    <w:tl2br w:val="nil"/>
                    <w:tr2bl w:val="nil"/>
                  </w:tcBorders>
                  <w:shd w:val="clear" w:color="auto" w:fill="auto"/>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p>
              </w:tc>
              <w:tc>
                <w:tcPr>
                  <w:tcW w:w="720" w:type="dxa"/>
                  <w:tcBorders>
                    <w:tl2br w:val="nil"/>
                    <w:tr2bl w:val="nil"/>
                  </w:tcBorders>
                  <w:shd w:val="clear" w:color="auto" w:fill="auto"/>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888" w:type="dxa"/>
                  <w:tcBorders>
                    <w:tl2br w:val="nil"/>
                    <w:tr2bl w:val="nil"/>
                  </w:tcBorders>
                  <w:shd w:val="clear" w:color="auto" w:fill="auto"/>
                  <w:vAlign w:val="center"/>
                </w:tcPr>
                <w:p>
                  <w:pPr>
                    <w:pStyle w:val="1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bl>
          <w:p>
            <w:pPr>
              <w:pStyle w:val="5"/>
              <w:spacing w:line="240" w:lineRule="auto"/>
              <w:rPr>
                <w:rFonts w:hint="default" w:ascii="Times New Roman" w:hAnsi="Times New Roman" w:cs="Times New Roman"/>
                <w:color w:val="auto"/>
                <w:highlight w:val="none"/>
              </w:rPr>
            </w:pP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由上表的预测结果可知，本项目投运后厂界昼、夜噪声</w:t>
            </w:r>
            <w:r>
              <w:rPr>
                <w:rFonts w:hint="default" w:ascii="Times New Roman" w:hAnsi="Times New Roman" w:cs="Times New Roman"/>
                <w:color w:val="auto"/>
                <w:highlight w:val="none"/>
                <w:lang w:val="en-US" w:eastAsia="zh-CN"/>
              </w:rPr>
              <w:t>叠加值</w:t>
            </w:r>
            <w:r>
              <w:rPr>
                <w:rFonts w:hint="default" w:ascii="Times New Roman" w:hAnsi="Times New Roman" w:cs="Times New Roman"/>
                <w:color w:val="auto"/>
                <w:highlight w:val="none"/>
              </w:rPr>
              <w:t>均满足《工业企业厂界环境噪声排放标准》(GB12348-2008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中3类标准限值，</w:t>
            </w:r>
            <w:r>
              <w:rPr>
                <w:rFonts w:hint="default" w:ascii="Times New Roman" w:hAnsi="Times New Roman" w:cs="Times New Roman"/>
                <w:color w:val="auto"/>
                <w:highlight w:val="none"/>
                <w:lang w:val="en-US" w:eastAsia="zh-CN"/>
              </w:rPr>
              <w:t>项目东北侧44m处海天广场预测值均满足</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声环境质量标准</w:t>
            </w:r>
            <w:r>
              <w:rPr>
                <w:rFonts w:hint="default" w:ascii="Times New Roman" w:hAnsi="Times New Roman" w:cs="Times New Roman"/>
                <w:color w:val="auto"/>
                <w:highlight w:val="none"/>
              </w:rPr>
              <w:t>》（GB3096-2008）中</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类标准限值</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对周边声环境影响较小。</w:t>
            </w:r>
          </w:p>
          <w:p>
            <w:pPr>
              <w:pStyle w:val="5"/>
              <w:numPr>
                <w:ilvl w:val="0"/>
                <w:numId w:val="0"/>
              </w:numPr>
              <w:ind w:left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噪声环境监测要求</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项目噪声监测计划见下表。</w:t>
            </w:r>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噪声监测计划</w:t>
            </w:r>
          </w:p>
          <w:tbl>
            <w:tblPr>
              <w:tblStyle w:val="11"/>
              <w:tblW w:w="8356"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508"/>
              <w:gridCol w:w="4633"/>
              <w:gridCol w:w="110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6"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监测点位</w:t>
                  </w:r>
                </w:p>
              </w:tc>
              <w:tc>
                <w:tcPr>
                  <w:tcW w:w="1508"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监测项目</w:t>
                  </w:r>
                </w:p>
              </w:tc>
              <w:tc>
                <w:tcPr>
                  <w:tcW w:w="4633"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执行标准</w:t>
                  </w:r>
                </w:p>
              </w:tc>
              <w:tc>
                <w:tcPr>
                  <w:tcW w:w="1109"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监测频率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6"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厂界</w:t>
                  </w:r>
                </w:p>
              </w:tc>
              <w:tc>
                <w:tcPr>
                  <w:tcW w:w="1508"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Leq(A)</w:t>
                  </w:r>
                </w:p>
              </w:tc>
              <w:tc>
                <w:tcPr>
                  <w:tcW w:w="4633"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《工业企业厂界环境噪声排放标准》(GB12348-2008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的3类标准</w:t>
                  </w:r>
                </w:p>
              </w:tc>
              <w:tc>
                <w:tcPr>
                  <w:tcW w:w="1109"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1次/季</w:t>
                  </w:r>
                </w:p>
              </w:tc>
            </w:tr>
          </w:tbl>
          <w:p>
            <w:pPr>
              <w:pStyle w:val="5"/>
              <w:numPr>
                <w:ilvl w:val="0"/>
                <w:numId w:val="0"/>
              </w:numPr>
              <w:tabs>
                <w:tab w:val="left" w:pos="420"/>
                <w:tab w:val="clear" w:pos="0"/>
              </w:tabs>
              <w:bidi w:val="0"/>
              <w:spacing w:line="240" w:lineRule="auto"/>
              <w:ind w:leftChars="200"/>
              <w:rPr>
                <w:rFonts w:hint="default" w:ascii="Times New Roman" w:hAnsi="Times New Roman" w:cs="Times New Roman"/>
                <w:color w:val="auto"/>
                <w:highlight w:val="none"/>
              </w:rPr>
            </w:pPr>
          </w:p>
          <w:p>
            <w:pPr>
              <w:pStyle w:val="2"/>
              <w:numPr>
                <w:ilvl w:val="1"/>
                <w:numId w:val="9"/>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w:t>
            </w:r>
          </w:p>
          <w:p>
            <w:pPr>
              <w:pStyle w:val="5"/>
              <w:numPr>
                <w:ilvl w:val="0"/>
                <w:numId w:val="0"/>
              </w:numPr>
              <w:ind w:left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固废污染源分析</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本项目新增固体废物主要为精馏残渣、设备维护产生的废机油，其产生及处置情况见下表。</w:t>
            </w:r>
          </w:p>
          <w:p>
            <w:pPr>
              <w:pStyle w:val="15"/>
              <w:rPr>
                <w:rFonts w:hint="default" w:ascii="Times New Roman" w:hAnsi="Times New Roman" w:cs="Times New Roman"/>
                <w:color w:val="auto"/>
                <w:highlight w:val="none"/>
              </w:rPr>
            </w:pPr>
            <w:bookmarkStart w:id="20" w:name="_Ref31352"/>
            <w:bookmarkStart w:id="21" w:name="_Ref28204"/>
            <w:bookmarkStart w:id="22" w:name="OLE_LINK22"/>
            <w:bookmarkStart w:id="23" w:name="OLE_LINK21"/>
            <w:r>
              <w:rPr>
                <w:rFonts w:hint="default" w:ascii="Times New Roman" w:hAnsi="Times New Roman" w:cs="Times New Roman"/>
                <w:color w:val="auto"/>
                <w:highlight w:val="none"/>
              </w:rPr>
              <w:t>本项目固废产生情况及处置一览表</w:t>
            </w:r>
            <w:bookmarkEnd w:id="20"/>
            <w:bookmarkEnd w:id="21"/>
          </w:p>
          <w:bookmarkEnd w:id="22"/>
          <w:bookmarkEnd w:id="23"/>
          <w:tbl>
            <w:tblPr>
              <w:tblStyle w:val="11"/>
              <w:tblW w:w="8407"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40"/>
              <w:gridCol w:w="858"/>
              <w:gridCol w:w="373"/>
              <w:gridCol w:w="1410"/>
              <w:gridCol w:w="403"/>
              <w:gridCol w:w="589"/>
              <w:gridCol w:w="719"/>
              <w:gridCol w:w="412"/>
              <w:gridCol w:w="739"/>
              <w:gridCol w:w="739"/>
              <w:gridCol w:w="646"/>
              <w:gridCol w:w="127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240" w:type="dxa"/>
                  <w:tcBorders>
                    <w:tl2br w:val="nil"/>
                    <w:tr2bl w:val="nil"/>
                  </w:tcBorders>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p>
                  <w:pPr>
                    <w:pStyle w:val="16"/>
                    <w:rPr>
                      <w:rFonts w:hint="default" w:ascii="Times New Roman" w:hAnsi="Times New Roman" w:cs="Times New Roman"/>
                      <w:color w:val="auto"/>
                      <w:szCs w:val="21"/>
                      <w:highlight w:val="none"/>
                    </w:rPr>
                  </w:pPr>
                </w:p>
              </w:tc>
              <w:tc>
                <w:tcPr>
                  <w:tcW w:w="858" w:type="dxa"/>
                  <w:tcBorders>
                    <w:tl2br w:val="nil"/>
                    <w:tr2bl w:val="nil"/>
                  </w:tcBorders>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固废名称</w:t>
                  </w:r>
                </w:p>
              </w:tc>
              <w:tc>
                <w:tcPr>
                  <w:tcW w:w="373" w:type="dxa"/>
                  <w:tcBorders>
                    <w:tl2br w:val="nil"/>
                    <w:tr2bl w:val="nil"/>
                  </w:tcBorders>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废物性质</w:t>
                  </w:r>
                </w:p>
              </w:tc>
              <w:tc>
                <w:tcPr>
                  <w:tcW w:w="1410" w:type="dxa"/>
                  <w:tcBorders>
                    <w:tl2br w:val="nil"/>
                    <w:tr2bl w:val="nil"/>
                  </w:tcBorders>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类别编号</w:t>
                  </w:r>
                </w:p>
              </w:tc>
              <w:tc>
                <w:tcPr>
                  <w:tcW w:w="403" w:type="dxa"/>
                  <w:tcBorders>
                    <w:tl2br w:val="nil"/>
                    <w:tr2bl w:val="nil"/>
                  </w:tcBorders>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危险特性</w:t>
                  </w:r>
                </w:p>
              </w:tc>
              <w:tc>
                <w:tcPr>
                  <w:tcW w:w="589" w:type="dxa"/>
                  <w:tcBorders>
                    <w:tl2br w:val="nil"/>
                    <w:tr2bl w:val="nil"/>
                  </w:tcBorders>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产生量</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t/a)</w:t>
                  </w:r>
                </w:p>
              </w:tc>
              <w:tc>
                <w:tcPr>
                  <w:tcW w:w="719" w:type="dxa"/>
                  <w:tcBorders>
                    <w:tl2br w:val="nil"/>
                    <w:tr2bl w:val="nil"/>
                  </w:tcBorders>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产生工序及装置</w:t>
                  </w:r>
                </w:p>
              </w:tc>
              <w:tc>
                <w:tcPr>
                  <w:tcW w:w="412" w:type="dxa"/>
                  <w:tcBorders>
                    <w:tl2br w:val="nil"/>
                    <w:tr2bl w:val="nil"/>
                  </w:tcBorders>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形态</w:t>
                  </w:r>
                </w:p>
              </w:tc>
              <w:tc>
                <w:tcPr>
                  <w:tcW w:w="739" w:type="dxa"/>
                  <w:tcBorders>
                    <w:tl2br w:val="nil"/>
                    <w:tr2bl w:val="nil"/>
                  </w:tcBorders>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主要成分</w:t>
                  </w:r>
                </w:p>
              </w:tc>
              <w:tc>
                <w:tcPr>
                  <w:tcW w:w="739" w:type="dxa"/>
                  <w:tcBorders>
                    <w:tl2br w:val="nil"/>
                    <w:tr2bl w:val="nil"/>
                  </w:tcBorders>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有害成分</w:t>
                  </w:r>
                </w:p>
              </w:tc>
              <w:tc>
                <w:tcPr>
                  <w:tcW w:w="646" w:type="dxa"/>
                  <w:tcBorders>
                    <w:tl2br w:val="nil"/>
                    <w:tr2bl w:val="nil"/>
                  </w:tcBorders>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产废规律</w:t>
                  </w:r>
                </w:p>
              </w:tc>
              <w:tc>
                <w:tcPr>
                  <w:tcW w:w="1279" w:type="dxa"/>
                  <w:tcBorders>
                    <w:tl2br w:val="nil"/>
                    <w:tr2bl w:val="nil"/>
                  </w:tcBorders>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处置去向</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240" w:type="dxa"/>
                  <w:tcBorders>
                    <w:tl2br w:val="nil"/>
                    <w:tr2bl w:val="nil"/>
                  </w:tcBorders>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858" w:type="dxa"/>
                  <w:tcBorders>
                    <w:tl2br w:val="nil"/>
                    <w:tr2bl w:val="nil"/>
                  </w:tcBorders>
                  <w:vAlign w:val="center"/>
                </w:tcPr>
                <w:p>
                  <w:pPr>
                    <w:pStyle w:val="16"/>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精馏残渣</w:t>
                  </w:r>
                </w:p>
              </w:tc>
              <w:tc>
                <w:tcPr>
                  <w:tcW w:w="373" w:type="dxa"/>
                  <w:vMerge w:val="restart"/>
                  <w:tcBorders>
                    <w:tl2br w:val="nil"/>
                    <w:tr2bl w:val="nil"/>
                  </w:tcBorders>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危险废物</w:t>
                  </w:r>
                </w:p>
              </w:tc>
              <w:tc>
                <w:tcPr>
                  <w:tcW w:w="1410" w:type="dxa"/>
                  <w:tcBorders>
                    <w:tl2br w:val="nil"/>
                    <w:tr2bl w:val="nil"/>
                  </w:tcBorders>
                  <w:vAlign w:val="center"/>
                </w:tcPr>
                <w:p>
                  <w:pPr>
                    <w:pStyle w:val="16"/>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rPr>
                    <w:t>HW</w:t>
                  </w:r>
                  <w:r>
                    <w:rPr>
                      <w:rFonts w:hint="default" w:ascii="Times New Roman" w:hAnsi="Times New Roman" w:cs="Times New Roman"/>
                      <w:bCs/>
                      <w:color w:val="auto"/>
                      <w:szCs w:val="21"/>
                      <w:highlight w:val="none"/>
                      <w:lang w:val="en-US" w:eastAsia="zh-CN"/>
                    </w:rPr>
                    <w:t>06</w:t>
                  </w:r>
                </w:p>
                <w:p>
                  <w:pPr>
                    <w:pStyle w:val="16"/>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val="en-US" w:eastAsia="zh-CN"/>
                    </w:rPr>
                    <w:t>900-409-06</w:t>
                  </w:r>
                  <w:r>
                    <w:rPr>
                      <w:rFonts w:hint="default" w:ascii="Times New Roman" w:hAnsi="Times New Roman" w:cs="Times New Roman"/>
                      <w:bCs/>
                      <w:color w:val="auto"/>
                      <w:szCs w:val="21"/>
                      <w:highlight w:val="none"/>
                    </w:rPr>
                    <w:t>）</w:t>
                  </w:r>
                </w:p>
              </w:tc>
              <w:tc>
                <w:tcPr>
                  <w:tcW w:w="403" w:type="dxa"/>
                  <w:tcBorders>
                    <w:tl2br w:val="nil"/>
                    <w:tr2bl w:val="nil"/>
                  </w:tcBorders>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w:t>
                  </w:r>
                </w:p>
              </w:tc>
              <w:tc>
                <w:tcPr>
                  <w:tcW w:w="589" w:type="dxa"/>
                  <w:tcBorders>
                    <w:tl2br w:val="nil"/>
                    <w:tr2bl w:val="nil"/>
                  </w:tcBorders>
                  <w:vAlign w:val="center"/>
                </w:tcPr>
                <w:p>
                  <w:pPr>
                    <w:pStyle w:val="16"/>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50.296</w:t>
                  </w:r>
                </w:p>
              </w:tc>
              <w:tc>
                <w:tcPr>
                  <w:tcW w:w="719" w:type="dxa"/>
                  <w:tcBorders>
                    <w:tl2br w:val="nil"/>
                    <w:tr2bl w:val="nil"/>
                  </w:tcBorders>
                  <w:vAlign w:val="center"/>
                </w:tcPr>
                <w:p>
                  <w:pPr>
                    <w:pStyle w:val="16"/>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精馏</w:t>
                  </w:r>
                </w:p>
              </w:tc>
              <w:tc>
                <w:tcPr>
                  <w:tcW w:w="412" w:type="dxa"/>
                  <w:tcBorders>
                    <w:tl2br w:val="nil"/>
                    <w:tr2bl w:val="nil"/>
                  </w:tcBorders>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固态</w:t>
                  </w:r>
                </w:p>
              </w:tc>
              <w:tc>
                <w:tcPr>
                  <w:tcW w:w="739" w:type="dxa"/>
                  <w:tcBorders>
                    <w:tl2br w:val="nil"/>
                    <w:tr2bl w:val="nil"/>
                  </w:tcBorders>
                  <w:vAlign w:val="center"/>
                </w:tcPr>
                <w:p>
                  <w:pPr>
                    <w:pStyle w:val="16"/>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bCs/>
                      <w:color w:val="auto"/>
                      <w:szCs w:val="21"/>
                      <w:highlight w:val="none"/>
                      <w:lang w:val="en-US" w:eastAsia="zh-CN"/>
                    </w:rPr>
                    <w:t>固形成分、DMF</w:t>
                  </w:r>
                  <w:r>
                    <w:rPr>
                      <w:rFonts w:hint="eastAsia" w:cs="Times New Roman"/>
                      <w:bCs/>
                      <w:color w:val="auto"/>
                      <w:szCs w:val="21"/>
                      <w:highlight w:val="none"/>
                      <w:lang w:val="en-US" w:eastAsia="zh-CN"/>
                    </w:rPr>
                    <w:t>、高沸物</w:t>
                  </w:r>
                </w:p>
              </w:tc>
              <w:tc>
                <w:tcPr>
                  <w:tcW w:w="739" w:type="dxa"/>
                  <w:tcBorders>
                    <w:tl2br w:val="nil"/>
                    <w:tr2bl w:val="nil"/>
                  </w:tcBorders>
                  <w:vAlign w:val="center"/>
                </w:tcPr>
                <w:p>
                  <w:pPr>
                    <w:pStyle w:val="16"/>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DMF</w:t>
                  </w:r>
                </w:p>
              </w:tc>
              <w:tc>
                <w:tcPr>
                  <w:tcW w:w="646" w:type="dxa"/>
                  <w:tcBorders>
                    <w:tl2br w:val="nil"/>
                    <w:tr2bl w:val="nil"/>
                  </w:tcBorders>
                  <w:vAlign w:val="center"/>
                </w:tcPr>
                <w:p>
                  <w:pPr>
                    <w:pStyle w:val="16"/>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间歇</w:t>
                  </w:r>
                </w:p>
              </w:tc>
              <w:tc>
                <w:tcPr>
                  <w:tcW w:w="1279" w:type="dxa"/>
                  <w:vMerge w:val="restart"/>
                  <w:tcBorders>
                    <w:tl2br w:val="nil"/>
                    <w:tr2bl w:val="nil"/>
                  </w:tcBorders>
                  <w:vAlign w:val="center"/>
                </w:tcPr>
                <w:p>
                  <w:pPr>
                    <w:pStyle w:val="16"/>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分类收集，暂存在危废暂存</w:t>
                  </w:r>
                </w:p>
                <w:p>
                  <w:pPr>
                    <w:pStyle w:val="16"/>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间，定期委托</w:t>
                  </w:r>
                </w:p>
                <w:p>
                  <w:pPr>
                    <w:pStyle w:val="16"/>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有资质单位处置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240" w:type="dxa"/>
                  <w:tcBorders>
                    <w:tl2br w:val="nil"/>
                    <w:tr2bl w:val="nil"/>
                  </w:tcBorders>
                  <w:vAlign w:val="center"/>
                </w:tcPr>
                <w:p>
                  <w:pPr>
                    <w:pStyle w:val="16"/>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858" w:type="dxa"/>
                  <w:tcBorders>
                    <w:tl2br w:val="nil"/>
                    <w:tr2bl w:val="nil"/>
                  </w:tcBorders>
                  <w:vAlign w:val="center"/>
                </w:tcPr>
                <w:p>
                  <w:pPr>
                    <w:pStyle w:val="16"/>
                    <w:ind w:left="0" w:leftChars="0"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废机油</w:t>
                  </w:r>
                </w:p>
              </w:tc>
              <w:tc>
                <w:tcPr>
                  <w:tcW w:w="373" w:type="dxa"/>
                  <w:vMerge w:val="continue"/>
                  <w:tcBorders>
                    <w:tl2br w:val="nil"/>
                    <w:tr2bl w:val="nil"/>
                  </w:tcBorders>
                  <w:vAlign w:val="center"/>
                </w:tcPr>
                <w:p>
                  <w:pPr>
                    <w:pStyle w:val="16"/>
                    <w:ind w:left="0" w:leftChars="0" w:firstLine="0" w:firstLineChars="0"/>
                    <w:rPr>
                      <w:rFonts w:hint="default" w:ascii="Times New Roman" w:hAnsi="Times New Roman" w:cs="Times New Roman"/>
                      <w:color w:val="auto"/>
                      <w:szCs w:val="21"/>
                      <w:highlight w:val="none"/>
                    </w:rPr>
                  </w:pPr>
                </w:p>
              </w:tc>
              <w:tc>
                <w:tcPr>
                  <w:tcW w:w="1410"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HW08</w:t>
                  </w:r>
                </w:p>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（900-249-08）</w:t>
                  </w:r>
                </w:p>
              </w:tc>
              <w:tc>
                <w:tcPr>
                  <w:tcW w:w="403" w:type="dxa"/>
                  <w:tcBorders>
                    <w:tl2br w:val="nil"/>
                    <w:tr2bl w:val="nil"/>
                  </w:tcBorders>
                  <w:vAlign w:val="center"/>
                </w:tcPr>
                <w:p>
                  <w:pPr>
                    <w:pStyle w:val="16"/>
                    <w:ind w:left="0" w:leftChars="0" w:firstLine="0" w:firstLineChars="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T/In</w:t>
                  </w:r>
                </w:p>
              </w:tc>
              <w:tc>
                <w:tcPr>
                  <w:tcW w:w="589" w:type="dxa"/>
                  <w:tcBorders>
                    <w:tl2br w:val="nil"/>
                    <w:tr2bl w:val="nil"/>
                  </w:tcBorders>
                  <w:vAlign w:val="center"/>
                </w:tcPr>
                <w:p>
                  <w:pPr>
                    <w:pStyle w:val="16"/>
                    <w:ind w:left="0" w:leftChars="0"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0.1</w:t>
                  </w:r>
                </w:p>
              </w:tc>
              <w:tc>
                <w:tcPr>
                  <w:tcW w:w="719" w:type="dxa"/>
                  <w:tcBorders>
                    <w:tl2br w:val="nil"/>
                    <w:tr2bl w:val="nil"/>
                  </w:tcBorders>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w:t>
                  </w:r>
                </w:p>
                <w:p>
                  <w:pPr>
                    <w:pStyle w:val="16"/>
                    <w:ind w:left="0" w:leftChars="0"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维护</w:t>
                  </w:r>
                </w:p>
              </w:tc>
              <w:tc>
                <w:tcPr>
                  <w:tcW w:w="412" w:type="dxa"/>
                  <w:tcBorders>
                    <w:tl2br w:val="nil"/>
                    <w:tr2bl w:val="nil"/>
                  </w:tcBorders>
                  <w:vAlign w:val="center"/>
                </w:tcPr>
                <w:p>
                  <w:pPr>
                    <w:pStyle w:val="16"/>
                    <w:ind w:left="0" w:leftChars="0" w:firstLine="0" w:firstLineChars="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液态</w:t>
                  </w:r>
                </w:p>
              </w:tc>
              <w:tc>
                <w:tcPr>
                  <w:tcW w:w="739" w:type="dxa"/>
                  <w:tcBorders>
                    <w:tl2br w:val="nil"/>
                    <w:tr2bl w:val="nil"/>
                  </w:tcBorders>
                  <w:vAlign w:val="center"/>
                </w:tcPr>
                <w:p>
                  <w:pPr>
                    <w:pStyle w:val="16"/>
                    <w:ind w:left="0" w:leftChars="0"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矿物油</w:t>
                  </w:r>
                </w:p>
              </w:tc>
              <w:tc>
                <w:tcPr>
                  <w:tcW w:w="739" w:type="dxa"/>
                  <w:tcBorders>
                    <w:tl2br w:val="nil"/>
                    <w:tr2bl w:val="nil"/>
                  </w:tcBorders>
                  <w:vAlign w:val="center"/>
                </w:tcPr>
                <w:p>
                  <w:pPr>
                    <w:pStyle w:val="16"/>
                    <w:ind w:left="0" w:leftChars="0"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矿物油</w:t>
                  </w:r>
                </w:p>
              </w:tc>
              <w:tc>
                <w:tcPr>
                  <w:tcW w:w="646" w:type="dxa"/>
                  <w:tcBorders>
                    <w:tl2br w:val="nil"/>
                    <w:tr2bl w:val="nil"/>
                  </w:tcBorders>
                  <w:vAlign w:val="center"/>
                </w:tcPr>
                <w:p>
                  <w:pPr>
                    <w:pStyle w:val="16"/>
                    <w:ind w:left="0" w:leftChars="0"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间歇</w:t>
                  </w:r>
                </w:p>
              </w:tc>
              <w:tc>
                <w:tcPr>
                  <w:tcW w:w="1279" w:type="dxa"/>
                  <w:vMerge w:val="continue"/>
                  <w:tcBorders>
                    <w:tl2br w:val="nil"/>
                    <w:tr2bl w:val="nil"/>
                  </w:tcBorders>
                  <w:vAlign w:val="center"/>
                </w:tcPr>
                <w:p>
                  <w:pPr>
                    <w:pStyle w:val="16"/>
                    <w:rPr>
                      <w:rFonts w:hint="default" w:ascii="Times New Roman" w:hAnsi="Times New Roman" w:cs="Times New Roman"/>
                      <w:color w:val="auto"/>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407" w:type="dxa"/>
                  <w:gridSpan w:val="12"/>
                  <w:tcBorders>
                    <w:tl2br w:val="nil"/>
                    <w:tr2bl w:val="nil"/>
                  </w:tcBorders>
                  <w:vAlign w:val="center"/>
                </w:tcPr>
                <w:p>
                  <w:pPr>
                    <w:pStyle w:val="16"/>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注：本项目水平衡及DMF平衡以</w:t>
                  </w:r>
                  <w:r>
                    <w:rPr>
                      <w:rFonts w:hint="default" w:ascii="Times New Roman" w:hAnsi="Times New Roman" w:cs="Times New Roman"/>
                      <w:color w:val="auto"/>
                      <w:highlight w:val="none"/>
                      <w:lang w:val="en-US" w:eastAsia="zh-CN"/>
                    </w:rPr>
                    <w:t>现有工程DMF废液产生量8251.2t/a分析，固体废物产生情况按备案处理规模8300t/a折算。</w:t>
                  </w:r>
                </w:p>
              </w:tc>
            </w:tr>
          </w:tbl>
          <w:p>
            <w:pPr>
              <w:bidi w:val="0"/>
              <w:rPr>
                <w:rFonts w:hint="default" w:ascii="Times New Roman" w:hAnsi="Times New Roman" w:cs="Times New Roman"/>
                <w:color w:val="auto"/>
                <w:highlight w:val="none"/>
                <w:lang w:eastAsia="zh-CN"/>
              </w:rPr>
            </w:pPr>
          </w:p>
          <w:p>
            <w:pPr>
              <w:pStyle w:val="5"/>
              <w:numPr>
                <w:ilvl w:val="0"/>
                <w:numId w:val="0"/>
              </w:numPr>
              <w:ind w:left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环境管理要求</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固体废物的收集方式强调采用分类收集，即各种垃圾按不同性质，分别收集处置。</w:t>
            </w:r>
          </w:p>
          <w:p>
            <w:pPr>
              <w:pStyle w:val="5"/>
              <w:ind w:firstLine="48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厂区内已</w:t>
            </w:r>
            <w:r>
              <w:rPr>
                <w:rFonts w:hint="default" w:ascii="Times New Roman" w:hAnsi="Times New Roman" w:cs="Times New Roman"/>
                <w:color w:val="auto"/>
                <w:highlight w:val="none"/>
              </w:rPr>
              <w:t>建设一座</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0m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危险废物暂存间</w:t>
            </w:r>
            <w:r>
              <w:rPr>
                <w:rFonts w:hint="default" w:ascii="Times New Roman" w:hAnsi="Times New Roman" w:cs="Times New Roman"/>
                <w:color w:val="auto"/>
                <w:highlight w:val="none"/>
                <w:lang w:val="en-US" w:eastAsia="zh-CN"/>
              </w:rPr>
              <w:t>和一座20m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vertAlign w:val="baseline"/>
                <w:lang w:val="en-US" w:eastAsia="zh-CN"/>
              </w:rPr>
              <w:t>危险废物暂存间（目前闲置）</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可通过缩短现有工程危险废物的转运周期或启用闲置危险废物暂存间等方式，为本次新增</w:t>
            </w:r>
            <w:r>
              <w:rPr>
                <w:rFonts w:hint="default" w:ascii="Times New Roman" w:hAnsi="Times New Roman" w:cs="Times New Roman"/>
                <w:color w:val="auto"/>
                <w:highlight w:val="none"/>
              </w:rPr>
              <w:t>危险废物</w:t>
            </w:r>
            <w:r>
              <w:rPr>
                <w:rFonts w:hint="default" w:ascii="Times New Roman" w:hAnsi="Times New Roman" w:cs="Times New Roman"/>
                <w:color w:val="auto"/>
                <w:highlight w:val="none"/>
                <w:lang w:val="en-US" w:eastAsia="zh-CN"/>
              </w:rPr>
              <w:t>预留足够暂存空间。但危险废物暂存间内存在防渗措施不足；不同危险废物之间隔断隔离未完善等问题，项目建成后全厂危险废物收集、贮存应遵循要求：</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A.</w:t>
            </w:r>
            <w:r>
              <w:rPr>
                <w:rFonts w:hint="default" w:ascii="Times New Roman" w:hAnsi="Times New Roman" w:cs="Times New Roman"/>
                <w:color w:val="auto"/>
                <w:highlight w:val="none"/>
              </w:rPr>
              <w:t>危险废物的收集容器和临时贮存场所应严格按照《危险废物贮存污染控制标准》（GB18597-2001）中的有关规定执行。贮存区必须按GB15562.2的规定设置警示标志，并具有防雨淋、防日晒、防渗漏措施，且危险废物要有专用的收集容器，定期对所贮存的危险废物贮存设施进行检查，发现破损，应及时采取措施。危险废物临时贮存的几点要求：</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a</w:t>
            </w:r>
            <w:r>
              <w:rPr>
                <w:rFonts w:hint="default" w:ascii="Times New Roman" w:hAnsi="Times New Roman" w:cs="Times New Roman"/>
                <w:color w:val="auto"/>
                <w:highlight w:val="none"/>
              </w:rPr>
              <w:t>.危险废物在收集时，应清楚废物的类别及主要成份，以方便委托处理单位处理，根据危险废物的性质和形态，可采用不同大小和不同材质的容器进行包装，所有包装和容器必须设置危险废物识别标志，并经过周密检查，严防在装载、搬移或运输途中出现渗漏、溢出、抛洒或挥发等情况。</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按《环境保护图形标识－－固体废物贮存（处置）场》（GB15562.2）在收集场所醒目的地方设置危险废物警告标识。</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b</w:t>
            </w:r>
            <w:r>
              <w:rPr>
                <w:rFonts w:hint="default" w:ascii="Times New Roman" w:hAnsi="Times New Roman" w:cs="Times New Roman"/>
                <w:color w:val="auto"/>
                <w:highlight w:val="none"/>
              </w:rPr>
              <w:t>.由专人负责管理。危险废物按不同名录分类分区堆放，并做好隔离、防水、防晒、防雨、防渗、防火处理。</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c</w:t>
            </w:r>
            <w:r>
              <w:rPr>
                <w:rFonts w:hint="default" w:ascii="Times New Roman" w:hAnsi="Times New Roman" w:cs="Times New Roman"/>
                <w:color w:val="auto"/>
                <w:highlight w:val="none"/>
              </w:rPr>
              <w:t>.应配备通讯设备、照明设施、安全防护服装及</w:t>
            </w:r>
            <w:r>
              <w:rPr>
                <w:rFonts w:hint="default" w:ascii="Times New Roman" w:hAnsi="Times New Roman" w:cs="Times New Roman"/>
                <w:color w:val="auto"/>
                <w:highlight w:val="none"/>
                <w:lang w:eastAsia="zh-CN"/>
              </w:rPr>
              <w:t>工具</w:t>
            </w:r>
            <w:r>
              <w:rPr>
                <w:rFonts w:hint="default" w:ascii="Times New Roman" w:hAnsi="Times New Roman" w:cs="Times New Roman"/>
                <w:color w:val="auto"/>
                <w:highlight w:val="none"/>
              </w:rPr>
              <w:t>，并设有报警装置和应急防护设施。</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d</w:t>
            </w:r>
            <w:r>
              <w:rPr>
                <w:rFonts w:hint="default" w:ascii="Times New Roman" w:hAnsi="Times New Roman" w:cs="Times New Roman"/>
                <w:color w:val="auto"/>
                <w:highlight w:val="none"/>
              </w:rPr>
              <w:t>.贮存区内禁止混放不相容危险废物；禁止危险废物混入非危险废物中贮存；危险废物按种类分别存放，且不同类废物间有明显的间隔（如过道等）。</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e</w:t>
            </w:r>
            <w:r>
              <w:rPr>
                <w:rFonts w:hint="default" w:ascii="Times New Roman" w:hAnsi="Times New Roman" w:cs="Times New Roman"/>
                <w:color w:val="auto"/>
                <w:highlight w:val="none"/>
              </w:rPr>
              <w:t>.危险废物临时贮存场所的地面和裙脚要用坚固、防渗的材料建造；该贮存场所的地面与裙脚围建一定的空间，该容积不低于堵截最大容器的最大储量或总储量的1/5贮存场所需设液体收集装置、气体导出口及气体净化装置；贮存装载液体、半固体危险废物容器的地方，必须有耐腐蚀的硬化地面且表面无裂隙。贮存设施应注意安全照明等问题；不相容的危险废物分开存放，并设有隔离间；基础防渗层为至少1m厚粘土层（渗透系数≤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cm/s），或2mm厚高密度聚乙烯，或至少2mm厚的其他人工材料，渗透系数≤10</w:t>
            </w:r>
            <w:r>
              <w:rPr>
                <w:rFonts w:hint="default" w:ascii="Times New Roman" w:hAnsi="Times New Roman" w:cs="Times New Roman"/>
                <w:color w:val="auto"/>
                <w:highlight w:val="none"/>
                <w:vertAlign w:val="superscript"/>
              </w:rPr>
              <w:t>-10</w:t>
            </w:r>
            <w:r>
              <w:rPr>
                <w:rFonts w:hint="default" w:ascii="Times New Roman" w:hAnsi="Times New Roman" w:cs="Times New Roman"/>
                <w:color w:val="auto"/>
                <w:highlight w:val="none"/>
              </w:rPr>
              <w:t>cm/s。具体设计原则参照《危险废物贮存污染控制标准》（GB18597-2001）。</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B.</w:t>
            </w:r>
            <w:r>
              <w:rPr>
                <w:rFonts w:hint="default" w:ascii="Times New Roman" w:hAnsi="Times New Roman" w:cs="Times New Roman"/>
                <w:color w:val="auto"/>
                <w:highlight w:val="none"/>
              </w:rPr>
              <w:t>建立危废申报登记制度。由专门人员负责危险废物的日常收集和管理，对任何进出临时贮存场所的危险废物都要记录在案，做好台账；危险废物临时贮存场所周围要设置防护栅栏，并设置警示标志。贮存所内配备通讯设备、照明设备、安全防护服装及工具，并有应急防护措施；危险废物的贮存和转运应严格按照《危险废物贮存污染控制标准》（GB18597-2001）及其修改单和《危险废物转移联单管理办法》要求执行。建设单位应强化废物产生、收集、贮放各环节的管理，各种固体废物按照类别分类存放，杜绝固体废物在厂区内散失、渗漏，达到无害化的目的，避免产生二次污染。</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危险废物的运输采取危险废物转移“电子联单”制度，保证运输安全，防止非法转移和非法处置，保证危险废物的安全监控，防止危险废物污染事故发生。</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电子联单”应通过福建省固体废物环境监管平台申请电子联单，危险废物产生者及其它需要转移危险废物的单位在转移危险废物之前，须按照国家有关规定报批危险废物转移计划。经批准后，通过《信息系统》申请电子联单。</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C.</w:t>
            </w:r>
            <w:r>
              <w:rPr>
                <w:rFonts w:hint="default" w:ascii="Times New Roman" w:hAnsi="Times New Roman" w:cs="Times New Roman"/>
                <w:color w:val="auto"/>
                <w:highlight w:val="none"/>
              </w:rPr>
              <w:t>应将危险废物提供或者委托给有危险废物经营许可证的单位从事利用和处置，并签订处置合同。同时应加强对运输单位及处置单位的跟踪检查，控制运输过程中的环境风险。</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综上本项目将本厂现有工程产生的DMF废液进行精馏回收，减少了厂区内危险废物的外运处置量，可降低危险废物运输过程中产生的风险。同时对厂区内产生危险废物收集、贮存等环节进行完善后，项目建设</w:t>
            </w:r>
            <w:r>
              <w:rPr>
                <w:rFonts w:hint="default" w:ascii="Times New Roman" w:hAnsi="Times New Roman" w:cs="Times New Roman"/>
                <w:color w:val="auto"/>
                <w:highlight w:val="none"/>
              </w:rPr>
              <w:t>对周边环境影响较小。</w:t>
            </w:r>
          </w:p>
          <w:p>
            <w:pPr>
              <w:pStyle w:val="2"/>
              <w:numPr>
                <w:ilvl w:val="1"/>
                <w:numId w:val="9"/>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地下水、土壤</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本项目对</w:t>
            </w:r>
            <w:r>
              <w:rPr>
                <w:rFonts w:hint="default" w:ascii="Times New Roman" w:hAnsi="Times New Roman" w:cs="Times New Roman"/>
                <w:color w:val="auto"/>
                <w:highlight w:val="none"/>
              </w:rPr>
              <w:t>土壤、地下水环境的影响途径及因子识别如下表所示。</w:t>
            </w:r>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地下水、土壤环境影响源及影响因子识别一览表</w:t>
            </w:r>
          </w:p>
          <w:tbl>
            <w:tblPr>
              <w:tblStyle w:val="11"/>
              <w:tblW w:w="8403"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3"/>
              <w:gridCol w:w="2627"/>
              <w:gridCol w:w="2018"/>
              <w:gridCol w:w="1296"/>
              <w:gridCol w:w="68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3"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污染源</w:t>
                  </w:r>
                </w:p>
              </w:tc>
              <w:tc>
                <w:tcPr>
                  <w:tcW w:w="2627"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工艺流程/节点</w:t>
                  </w:r>
                </w:p>
              </w:tc>
              <w:tc>
                <w:tcPr>
                  <w:tcW w:w="2018"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污染途径</w:t>
                  </w:r>
                </w:p>
              </w:tc>
              <w:tc>
                <w:tcPr>
                  <w:tcW w:w="1296"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污染物类型</w:t>
                  </w:r>
                </w:p>
              </w:tc>
              <w:tc>
                <w:tcPr>
                  <w:tcW w:w="689"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1773" w:type="dxa"/>
                  <w:tcBorders>
                    <w:tl2br w:val="nil"/>
                    <w:tr2bl w:val="nil"/>
                  </w:tcBorders>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DMF废液回收处理设备</w:t>
                  </w:r>
                </w:p>
              </w:tc>
              <w:tc>
                <w:tcPr>
                  <w:tcW w:w="2627" w:type="dxa"/>
                  <w:tcBorders>
                    <w:tl2br w:val="nil"/>
                    <w:tr2bl w:val="nil"/>
                  </w:tcBorders>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管道</w:t>
                  </w:r>
                </w:p>
              </w:tc>
              <w:tc>
                <w:tcPr>
                  <w:tcW w:w="2018"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垂直入渗</w:t>
                  </w:r>
                </w:p>
              </w:tc>
              <w:tc>
                <w:tcPr>
                  <w:tcW w:w="1296" w:type="dxa"/>
                  <w:tcBorders>
                    <w:tl2br w:val="nil"/>
                    <w:tr2bl w:val="nil"/>
                  </w:tcBorders>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DMF、COD</w:t>
                  </w:r>
                </w:p>
              </w:tc>
              <w:tc>
                <w:tcPr>
                  <w:tcW w:w="689"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事故</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1773" w:type="dxa"/>
                  <w:tcBorders>
                    <w:tl2br w:val="nil"/>
                    <w:tr2bl w:val="nil"/>
                  </w:tcBorders>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储罐区</w:t>
                  </w:r>
                </w:p>
              </w:tc>
              <w:tc>
                <w:tcPr>
                  <w:tcW w:w="2627" w:type="dxa"/>
                  <w:tcBorders>
                    <w:tl2br w:val="nil"/>
                    <w:tr2bl w:val="nil"/>
                  </w:tcBorders>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DMF废水储罐、DMF储罐</w:t>
                  </w:r>
                </w:p>
              </w:tc>
              <w:tc>
                <w:tcPr>
                  <w:tcW w:w="2018" w:type="dxa"/>
                  <w:tcBorders>
                    <w:tl2br w:val="nil"/>
                    <w:tr2bl w:val="nil"/>
                  </w:tcBorders>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垂直入渗</w:t>
                  </w:r>
                </w:p>
              </w:tc>
              <w:tc>
                <w:tcPr>
                  <w:tcW w:w="1296" w:type="dxa"/>
                  <w:tcBorders>
                    <w:tl2br w:val="nil"/>
                    <w:tr2bl w:val="nil"/>
                  </w:tcBorders>
                  <w:vAlign w:val="center"/>
                </w:tcPr>
                <w:p>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DMF、COD</w:t>
                  </w:r>
                </w:p>
              </w:tc>
              <w:tc>
                <w:tcPr>
                  <w:tcW w:w="689" w:type="dxa"/>
                  <w:tcBorders>
                    <w:tl2br w:val="nil"/>
                    <w:tr2bl w:val="nil"/>
                  </w:tcBorders>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事故</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jc w:val="center"/>
              </w:trPr>
              <w:tc>
                <w:tcPr>
                  <w:tcW w:w="1773" w:type="dxa"/>
                  <w:tcBorders>
                    <w:tl2br w:val="nil"/>
                    <w:tr2bl w:val="nil"/>
                  </w:tcBorders>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危险废物暂存间</w:t>
                  </w:r>
                </w:p>
              </w:tc>
              <w:tc>
                <w:tcPr>
                  <w:tcW w:w="2627" w:type="dxa"/>
                  <w:tcBorders>
                    <w:tl2br w:val="nil"/>
                    <w:tr2bl w:val="nil"/>
                  </w:tcBorders>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精馏残渣</w:t>
                  </w:r>
                </w:p>
              </w:tc>
              <w:tc>
                <w:tcPr>
                  <w:tcW w:w="2018"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垂直入渗</w:t>
                  </w:r>
                </w:p>
              </w:tc>
              <w:tc>
                <w:tcPr>
                  <w:tcW w:w="1296" w:type="dxa"/>
                  <w:tcBorders>
                    <w:tl2br w:val="nil"/>
                    <w:tr2bl w:val="nil"/>
                  </w:tcBorders>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DMF</w:t>
                  </w:r>
                </w:p>
              </w:tc>
              <w:tc>
                <w:tcPr>
                  <w:tcW w:w="689"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事故</w:t>
                  </w:r>
                </w:p>
              </w:tc>
            </w:tr>
          </w:tbl>
          <w:p>
            <w:pPr>
              <w:pStyle w:val="5"/>
              <w:numPr>
                <w:ilvl w:val="0"/>
                <w:numId w:val="0"/>
              </w:numPr>
              <w:bidi w:val="0"/>
              <w:spacing w:line="240" w:lineRule="auto"/>
              <w:ind w:leftChars="200"/>
              <w:rPr>
                <w:rFonts w:hint="default" w:ascii="Times New Roman" w:hAnsi="Times New Roman" w:cs="Times New Roman"/>
                <w:color w:val="auto"/>
                <w:highlight w:val="none"/>
                <w:lang w:eastAsia="zh-CN"/>
              </w:rPr>
            </w:pPr>
          </w:p>
          <w:p>
            <w:pPr>
              <w:pStyle w:val="5"/>
              <w:numPr>
                <w:ilvl w:val="0"/>
                <w:numId w:val="0"/>
              </w:numPr>
              <w:bidi w:val="0"/>
              <w:ind w:left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分区防控措施</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①</w:t>
            </w:r>
            <w:r>
              <w:rPr>
                <w:rFonts w:hint="default" w:ascii="Times New Roman" w:hAnsi="Times New Roman" w:cs="Times New Roman"/>
                <w:color w:val="auto"/>
                <w:highlight w:val="none"/>
              </w:rPr>
              <w:t>防渗区划</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厂区内已对储罐区基础、污水收集管道采取重点防渗，储罐区围堰、生产车间及事故应急池内已采取一般防渗措施，其余区域仅采取地面硬化，现状防渗措施存在不足。因此，本次评价</w:t>
            </w:r>
            <w:r>
              <w:rPr>
                <w:rFonts w:hint="default" w:ascii="Times New Roman" w:hAnsi="Times New Roman" w:cs="Times New Roman"/>
                <w:color w:val="auto"/>
                <w:highlight w:val="none"/>
              </w:rPr>
              <w:t>根据《环境影响评价技术导则 地下水环境》（HJ610-2016），</w:t>
            </w:r>
            <w:r>
              <w:rPr>
                <w:rFonts w:hint="default" w:ascii="Times New Roman" w:hAnsi="Times New Roman" w:cs="Times New Roman"/>
                <w:color w:val="auto"/>
                <w:highlight w:val="none"/>
                <w:lang w:val="en-US" w:eastAsia="zh-CN"/>
              </w:rPr>
              <w:t>对项目建成后全厂防渗分区进行划定，</w:t>
            </w:r>
            <w:r>
              <w:rPr>
                <w:rFonts w:hint="default" w:ascii="Times New Roman" w:hAnsi="Times New Roman" w:cs="Times New Roman"/>
                <w:color w:val="auto"/>
                <w:highlight w:val="none"/>
              </w:rPr>
              <w:t>按下表确定。</w:t>
            </w:r>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污染控制难易程度分级参照表</w:t>
            </w:r>
          </w:p>
          <w:tbl>
            <w:tblPr>
              <w:tblStyle w:val="12"/>
              <w:tblW w:w="8405"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76"/>
              <w:gridCol w:w="622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76"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污染物控制难易程度</w:t>
                  </w:r>
                </w:p>
              </w:tc>
              <w:tc>
                <w:tcPr>
                  <w:tcW w:w="6229"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污染物类型</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76"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难</w:t>
                  </w:r>
                </w:p>
              </w:tc>
              <w:tc>
                <w:tcPr>
                  <w:tcW w:w="6229"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对地下水环境有污染的物料或污染物</w:t>
                  </w:r>
                  <w:r>
                    <w:rPr>
                      <w:rFonts w:hint="default" w:ascii="Times New Roman" w:hAnsi="Times New Roman" w:cs="Times New Roman"/>
                      <w:color w:val="auto"/>
                      <w:highlight w:val="none"/>
                      <w:lang w:eastAsia="zh-CN"/>
                    </w:rPr>
                    <w:t>泄漏</w:t>
                  </w:r>
                  <w:r>
                    <w:rPr>
                      <w:rFonts w:hint="default" w:ascii="Times New Roman" w:hAnsi="Times New Roman" w:cs="Times New Roman"/>
                      <w:color w:val="auto"/>
                      <w:highlight w:val="none"/>
                    </w:rPr>
                    <w:t>后，不能及时发现和处理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76"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易</w:t>
                  </w:r>
                </w:p>
              </w:tc>
              <w:tc>
                <w:tcPr>
                  <w:tcW w:w="6229" w:type="dxa"/>
                  <w:tcBorders>
                    <w:tl2br w:val="nil"/>
                    <w:tr2bl w:val="nil"/>
                  </w:tcBorders>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对地下水环境有污染的物料或污染物</w:t>
                  </w:r>
                  <w:r>
                    <w:rPr>
                      <w:rFonts w:hint="default" w:ascii="Times New Roman" w:hAnsi="Times New Roman" w:cs="Times New Roman"/>
                      <w:color w:val="auto"/>
                      <w:highlight w:val="none"/>
                      <w:lang w:eastAsia="zh-CN"/>
                    </w:rPr>
                    <w:t>泄漏</w:t>
                  </w:r>
                  <w:r>
                    <w:rPr>
                      <w:rFonts w:hint="default" w:ascii="Times New Roman" w:hAnsi="Times New Roman" w:cs="Times New Roman"/>
                      <w:color w:val="auto"/>
                      <w:highlight w:val="none"/>
                    </w:rPr>
                    <w:t>后，可及时发现和处理</w:t>
                  </w:r>
                </w:p>
              </w:tc>
            </w:tr>
          </w:tbl>
          <w:p>
            <w:pPr>
              <w:numPr>
                <w:ilvl w:val="0"/>
                <w:numId w:val="0"/>
              </w:numPr>
              <w:tabs>
                <w:tab w:val="left" w:pos="0"/>
              </w:tabs>
              <w:bidi w:val="0"/>
              <w:ind w:leftChars="0"/>
              <w:rPr>
                <w:rFonts w:hint="default" w:ascii="Times New Roman" w:hAnsi="Times New Roman" w:cs="Times New Roman"/>
                <w:color w:val="auto"/>
                <w:highlight w:val="none"/>
              </w:rPr>
            </w:pPr>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天然包气袋防污性能分级参照表</w:t>
            </w:r>
          </w:p>
          <w:tbl>
            <w:tblPr>
              <w:tblStyle w:val="12"/>
              <w:tblW w:w="8407"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7"/>
              <w:gridCol w:w="771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7"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分级</w:t>
                  </w:r>
                </w:p>
              </w:tc>
              <w:tc>
                <w:tcPr>
                  <w:tcW w:w="7710"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包气带岩土的渗透性能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7"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w:t>
                  </w:r>
                </w:p>
              </w:tc>
              <w:tc>
                <w:tcPr>
                  <w:tcW w:w="7710"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岩（土）层单层厚度Mb≥1.0m，渗透系数K≤1×10</w:t>
                  </w:r>
                  <w:r>
                    <w:rPr>
                      <w:rFonts w:hint="default" w:ascii="Times New Roman" w:hAnsi="Times New Roman" w:cs="Times New Roman"/>
                      <w:color w:val="auto"/>
                      <w:szCs w:val="21"/>
                      <w:highlight w:val="none"/>
                      <w:vertAlign w:val="superscript"/>
                    </w:rPr>
                    <w:t>-6</w:t>
                  </w:r>
                  <w:r>
                    <w:rPr>
                      <w:rFonts w:hint="default" w:ascii="Times New Roman" w:hAnsi="Times New Roman" w:cs="Times New Roman"/>
                      <w:color w:val="auto"/>
                      <w:szCs w:val="21"/>
                      <w:highlight w:val="none"/>
                    </w:rPr>
                    <w:t>cm/s，且分布连续、稳定</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7"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w:t>
                  </w:r>
                </w:p>
              </w:tc>
              <w:tc>
                <w:tcPr>
                  <w:tcW w:w="7710"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岩（土）层单层厚度0.5m≤Mb&lt;1.0m，渗透系数K≤1×10</w:t>
                  </w:r>
                  <w:r>
                    <w:rPr>
                      <w:rFonts w:hint="default" w:ascii="Times New Roman" w:hAnsi="Times New Roman" w:cs="Times New Roman"/>
                      <w:color w:val="auto"/>
                      <w:szCs w:val="21"/>
                      <w:highlight w:val="none"/>
                      <w:vertAlign w:val="superscript"/>
                    </w:rPr>
                    <w:t>-6</w:t>
                  </w:r>
                  <w:r>
                    <w:rPr>
                      <w:rFonts w:hint="default" w:ascii="Times New Roman" w:hAnsi="Times New Roman" w:cs="Times New Roman"/>
                      <w:color w:val="auto"/>
                      <w:szCs w:val="21"/>
                      <w:highlight w:val="none"/>
                    </w:rPr>
                    <w:t>cm/s，且分布连续、稳定</w:t>
                  </w:r>
                </w:p>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岩（土）层单层厚度Mb≥1.0m，渗透系数1×10</w:t>
                  </w:r>
                  <w:r>
                    <w:rPr>
                      <w:rFonts w:hint="default" w:ascii="Times New Roman" w:hAnsi="Times New Roman" w:cs="Times New Roman"/>
                      <w:color w:val="auto"/>
                      <w:szCs w:val="21"/>
                      <w:highlight w:val="none"/>
                      <w:vertAlign w:val="superscript"/>
                    </w:rPr>
                    <w:t>-6</w:t>
                  </w:r>
                  <w:r>
                    <w:rPr>
                      <w:rFonts w:hint="default" w:ascii="Times New Roman" w:hAnsi="Times New Roman" w:cs="Times New Roman"/>
                      <w:color w:val="auto"/>
                      <w:szCs w:val="21"/>
                      <w:highlight w:val="none"/>
                    </w:rPr>
                    <w:t>cm/s&lt;K≤1×10</w:t>
                  </w:r>
                  <w:r>
                    <w:rPr>
                      <w:rFonts w:hint="default" w:ascii="Times New Roman" w:hAnsi="Times New Roman" w:cs="Times New Roman"/>
                      <w:color w:val="auto"/>
                      <w:szCs w:val="21"/>
                      <w:highlight w:val="none"/>
                      <w:vertAlign w:val="superscript"/>
                    </w:rPr>
                    <w:t>-4</w:t>
                  </w:r>
                  <w:r>
                    <w:rPr>
                      <w:rFonts w:hint="default" w:ascii="Times New Roman" w:hAnsi="Times New Roman" w:cs="Times New Roman"/>
                      <w:color w:val="auto"/>
                      <w:szCs w:val="21"/>
                      <w:highlight w:val="none"/>
                    </w:rPr>
                    <w:t>cm/s，且分布连续、稳定</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7"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弱</w:t>
                  </w:r>
                </w:p>
              </w:tc>
              <w:tc>
                <w:tcPr>
                  <w:tcW w:w="7710"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岩土层不满足上述“强”和“中”条件</w:t>
                  </w:r>
                </w:p>
              </w:tc>
            </w:tr>
          </w:tbl>
          <w:p>
            <w:pPr>
              <w:numPr>
                <w:ilvl w:val="0"/>
                <w:numId w:val="0"/>
              </w:numPr>
              <w:tabs>
                <w:tab w:val="left" w:pos="0"/>
              </w:tabs>
              <w:bidi w:val="0"/>
              <w:ind w:leftChars="0"/>
              <w:rPr>
                <w:rFonts w:hint="default" w:ascii="Times New Roman" w:hAnsi="Times New Roman" w:cs="Times New Roman"/>
                <w:color w:val="auto"/>
                <w:highlight w:val="none"/>
              </w:rPr>
            </w:pPr>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防渗分区参照表</w:t>
            </w:r>
          </w:p>
          <w:tbl>
            <w:tblPr>
              <w:tblStyle w:val="12"/>
              <w:tblW w:w="8406"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513"/>
              <w:gridCol w:w="1426"/>
              <w:gridCol w:w="1534"/>
              <w:gridCol w:w="266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防渗分区</w:t>
                  </w:r>
                </w:p>
              </w:tc>
              <w:tc>
                <w:tcPr>
                  <w:tcW w:w="1513"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天然包气带防污性能</w:t>
                  </w:r>
                </w:p>
              </w:tc>
              <w:tc>
                <w:tcPr>
                  <w:tcW w:w="1426"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污染控制难易程度</w:t>
                  </w:r>
                </w:p>
              </w:tc>
              <w:tc>
                <w:tcPr>
                  <w:tcW w:w="1534"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污染物类型</w:t>
                  </w:r>
                </w:p>
              </w:tc>
              <w:tc>
                <w:tcPr>
                  <w:tcW w:w="2663"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防渗技术要求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vMerge w:val="restart"/>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重点防渗区</w:t>
                  </w:r>
                </w:p>
              </w:tc>
              <w:tc>
                <w:tcPr>
                  <w:tcW w:w="1513"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弱</w:t>
                  </w:r>
                </w:p>
              </w:tc>
              <w:tc>
                <w:tcPr>
                  <w:tcW w:w="1426"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难</w:t>
                  </w:r>
                </w:p>
              </w:tc>
              <w:tc>
                <w:tcPr>
                  <w:tcW w:w="1534" w:type="dxa"/>
                  <w:vMerge w:val="restart"/>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重金属、持久性有机污染物</w:t>
                  </w:r>
                </w:p>
              </w:tc>
              <w:tc>
                <w:tcPr>
                  <w:tcW w:w="2663" w:type="dxa"/>
                  <w:vMerge w:val="restart"/>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等效黏土防渗层Mb≥6.0m，K≤1×10</w:t>
                  </w:r>
                  <w:r>
                    <w:rPr>
                      <w:rFonts w:hint="default" w:ascii="Times New Roman" w:hAnsi="Times New Roman" w:cs="Times New Roman"/>
                      <w:color w:val="auto"/>
                      <w:szCs w:val="21"/>
                      <w:highlight w:val="none"/>
                      <w:vertAlign w:val="superscript"/>
                    </w:rPr>
                    <w:t>-7</w:t>
                  </w:r>
                  <w:r>
                    <w:rPr>
                      <w:rFonts w:hint="default" w:ascii="Times New Roman" w:hAnsi="Times New Roman" w:cs="Times New Roman"/>
                      <w:color w:val="auto"/>
                      <w:szCs w:val="21"/>
                      <w:highlight w:val="none"/>
                    </w:rPr>
                    <w:t>cm/s，或参照GB18598执行</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vMerge w:val="continue"/>
                  <w:tcBorders>
                    <w:tl2br w:val="nil"/>
                    <w:tr2bl w:val="nil"/>
                  </w:tcBorders>
                  <w:vAlign w:val="center"/>
                </w:tcPr>
                <w:p>
                  <w:pPr>
                    <w:jc w:val="center"/>
                    <w:rPr>
                      <w:rFonts w:hint="default" w:ascii="Times New Roman" w:hAnsi="Times New Roman" w:cs="Times New Roman"/>
                      <w:color w:val="auto"/>
                      <w:szCs w:val="21"/>
                      <w:highlight w:val="none"/>
                    </w:rPr>
                  </w:pPr>
                </w:p>
              </w:tc>
              <w:tc>
                <w:tcPr>
                  <w:tcW w:w="1513"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中-强</w:t>
                  </w:r>
                </w:p>
              </w:tc>
              <w:tc>
                <w:tcPr>
                  <w:tcW w:w="1426"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难</w:t>
                  </w:r>
                </w:p>
              </w:tc>
              <w:tc>
                <w:tcPr>
                  <w:tcW w:w="1534" w:type="dxa"/>
                  <w:vMerge w:val="continue"/>
                  <w:tcBorders>
                    <w:tl2br w:val="nil"/>
                    <w:tr2bl w:val="nil"/>
                  </w:tcBorders>
                  <w:vAlign w:val="center"/>
                </w:tcPr>
                <w:p>
                  <w:pPr>
                    <w:jc w:val="center"/>
                    <w:rPr>
                      <w:rFonts w:hint="default" w:ascii="Times New Roman" w:hAnsi="Times New Roman" w:cs="Times New Roman"/>
                      <w:color w:val="auto"/>
                      <w:szCs w:val="21"/>
                      <w:highlight w:val="none"/>
                    </w:rPr>
                  </w:pPr>
                </w:p>
              </w:tc>
              <w:tc>
                <w:tcPr>
                  <w:tcW w:w="2663" w:type="dxa"/>
                  <w:vMerge w:val="continue"/>
                  <w:tcBorders>
                    <w:tl2br w:val="nil"/>
                    <w:tr2bl w:val="nil"/>
                  </w:tcBorders>
                  <w:vAlign w:val="center"/>
                </w:tcPr>
                <w:p>
                  <w:pPr>
                    <w:jc w:val="center"/>
                    <w:rPr>
                      <w:rFonts w:hint="default" w:ascii="Times New Roman" w:hAnsi="Times New Roman" w:cs="Times New Roman"/>
                      <w:color w:val="auto"/>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vMerge w:val="continue"/>
                  <w:tcBorders>
                    <w:tl2br w:val="nil"/>
                    <w:tr2bl w:val="nil"/>
                  </w:tcBorders>
                  <w:vAlign w:val="center"/>
                </w:tcPr>
                <w:p>
                  <w:pPr>
                    <w:jc w:val="center"/>
                    <w:rPr>
                      <w:rFonts w:hint="default" w:ascii="Times New Roman" w:hAnsi="Times New Roman" w:cs="Times New Roman"/>
                      <w:color w:val="auto"/>
                      <w:szCs w:val="21"/>
                      <w:highlight w:val="none"/>
                    </w:rPr>
                  </w:pPr>
                </w:p>
              </w:tc>
              <w:tc>
                <w:tcPr>
                  <w:tcW w:w="1513"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弱</w:t>
                  </w:r>
                </w:p>
              </w:tc>
              <w:tc>
                <w:tcPr>
                  <w:tcW w:w="1426"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易</w:t>
                  </w:r>
                </w:p>
              </w:tc>
              <w:tc>
                <w:tcPr>
                  <w:tcW w:w="1534" w:type="dxa"/>
                  <w:vMerge w:val="continue"/>
                  <w:tcBorders>
                    <w:tl2br w:val="nil"/>
                    <w:tr2bl w:val="nil"/>
                  </w:tcBorders>
                  <w:vAlign w:val="center"/>
                </w:tcPr>
                <w:p>
                  <w:pPr>
                    <w:jc w:val="center"/>
                    <w:rPr>
                      <w:rFonts w:hint="default" w:ascii="Times New Roman" w:hAnsi="Times New Roman" w:cs="Times New Roman"/>
                      <w:color w:val="auto"/>
                      <w:szCs w:val="21"/>
                      <w:highlight w:val="none"/>
                    </w:rPr>
                  </w:pPr>
                </w:p>
              </w:tc>
              <w:tc>
                <w:tcPr>
                  <w:tcW w:w="2663" w:type="dxa"/>
                  <w:vMerge w:val="continue"/>
                  <w:tcBorders>
                    <w:tl2br w:val="nil"/>
                    <w:tr2bl w:val="nil"/>
                  </w:tcBorders>
                  <w:vAlign w:val="center"/>
                </w:tcPr>
                <w:p>
                  <w:pPr>
                    <w:jc w:val="center"/>
                    <w:rPr>
                      <w:rFonts w:hint="default" w:ascii="Times New Roman" w:hAnsi="Times New Roman" w:cs="Times New Roman"/>
                      <w:color w:val="auto"/>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vMerge w:val="restart"/>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一般防渗区</w:t>
                  </w:r>
                </w:p>
              </w:tc>
              <w:tc>
                <w:tcPr>
                  <w:tcW w:w="1513"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弱</w:t>
                  </w:r>
                </w:p>
              </w:tc>
              <w:tc>
                <w:tcPr>
                  <w:tcW w:w="1426"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易-难</w:t>
                  </w:r>
                </w:p>
              </w:tc>
              <w:tc>
                <w:tcPr>
                  <w:tcW w:w="1534" w:type="dxa"/>
                  <w:vMerge w:val="restart"/>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其他类型</w:t>
                  </w:r>
                </w:p>
              </w:tc>
              <w:tc>
                <w:tcPr>
                  <w:tcW w:w="2663" w:type="dxa"/>
                  <w:vMerge w:val="restart"/>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等效黏土防渗</w:t>
                  </w:r>
                  <w:r>
                    <w:rPr>
                      <w:rFonts w:hint="default" w:ascii="Times New Roman" w:hAnsi="Times New Roman" w:cs="Times New Roman"/>
                      <w:color w:val="auto"/>
                      <w:highlight w:val="none"/>
                    </w:rPr>
                    <w:t>层Mb≥1.5m</w:t>
                  </w:r>
                  <w:r>
                    <w:rPr>
                      <w:rFonts w:hint="default" w:ascii="Times New Roman" w:hAnsi="Times New Roman" w:cs="Times New Roman"/>
                      <w:color w:val="auto"/>
                      <w:szCs w:val="21"/>
                      <w:highlight w:val="none"/>
                    </w:rPr>
                    <w:t>，K≤1×10</w:t>
                  </w:r>
                  <w:r>
                    <w:rPr>
                      <w:rFonts w:hint="default" w:ascii="Times New Roman" w:hAnsi="Times New Roman" w:cs="Times New Roman"/>
                      <w:color w:val="auto"/>
                      <w:szCs w:val="21"/>
                      <w:highlight w:val="none"/>
                      <w:vertAlign w:val="superscript"/>
                    </w:rPr>
                    <w:t>-7</w:t>
                  </w:r>
                  <w:r>
                    <w:rPr>
                      <w:rFonts w:hint="default" w:ascii="Times New Roman" w:hAnsi="Times New Roman" w:cs="Times New Roman"/>
                      <w:color w:val="auto"/>
                      <w:szCs w:val="21"/>
                      <w:highlight w:val="none"/>
                    </w:rPr>
                    <w:t>cm/s，或参照GB16889执行</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vMerge w:val="continue"/>
                  <w:tcBorders>
                    <w:tl2br w:val="nil"/>
                    <w:tr2bl w:val="nil"/>
                  </w:tcBorders>
                  <w:vAlign w:val="center"/>
                </w:tcPr>
                <w:p>
                  <w:pPr>
                    <w:jc w:val="center"/>
                    <w:rPr>
                      <w:rFonts w:hint="default" w:ascii="Times New Roman" w:hAnsi="Times New Roman" w:cs="Times New Roman"/>
                      <w:color w:val="auto"/>
                      <w:szCs w:val="21"/>
                      <w:highlight w:val="none"/>
                    </w:rPr>
                  </w:pPr>
                </w:p>
              </w:tc>
              <w:tc>
                <w:tcPr>
                  <w:tcW w:w="1513"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中-强</w:t>
                  </w:r>
                </w:p>
              </w:tc>
              <w:tc>
                <w:tcPr>
                  <w:tcW w:w="1426"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难</w:t>
                  </w:r>
                </w:p>
              </w:tc>
              <w:tc>
                <w:tcPr>
                  <w:tcW w:w="1534" w:type="dxa"/>
                  <w:vMerge w:val="continue"/>
                  <w:tcBorders>
                    <w:tl2br w:val="nil"/>
                    <w:tr2bl w:val="nil"/>
                  </w:tcBorders>
                  <w:vAlign w:val="center"/>
                </w:tcPr>
                <w:p>
                  <w:pPr>
                    <w:jc w:val="center"/>
                    <w:rPr>
                      <w:rFonts w:hint="default" w:ascii="Times New Roman" w:hAnsi="Times New Roman" w:cs="Times New Roman"/>
                      <w:color w:val="auto"/>
                      <w:szCs w:val="21"/>
                      <w:highlight w:val="none"/>
                    </w:rPr>
                  </w:pPr>
                </w:p>
              </w:tc>
              <w:tc>
                <w:tcPr>
                  <w:tcW w:w="2663" w:type="dxa"/>
                  <w:vMerge w:val="continue"/>
                  <w:tcBorders>
                    <w:tl2br w:val="nil"/>
                    <w:tr2bl w:val="nil"/>
                  </w:tcBorders>
                  <w:vAlign w:val="center"/>
                </w:tcPr>
                <w:p>
                  <w:pPr>
                    <w:jc w:val="center"/>
                    <w:rPr>
                      <w:rFonts w:hint="default" w:ascii="Times New Roman" w:hAnsi="Times New Roman" w:cs="Times New Roman"/>
                      <w:color w:val="auto"/>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vMerge w:val="continue"/>
                  <w:tcBorders>
                    <w:tl2br w:val="nil"/>
                    <w:tr2bl w:val="nil"/>
                  </w:tcBorders>
                  <w:vAlign w:val="center"/>
                </w:tcPr>
                <w:p>
                  <w:pPr>
                    <w:jc w:val="center"/>
                    <w:rPr>
                      <w:rFonts w:hint="default" w:ascii="Times New Roman" w:hAnsi="Times New Roman" w:cs="Times New Roman"/>
                      <w:color w:val="auto"/>
                      <w:szCs w:val="21"/>
                      <w:highlight w:val="none"/>
                    </w:rPr>
                  </w:pPr>
                </w:p>
              </w:tc>
              <w:tc>
                <w:tcPr>
                  <w:tcW w:w="1513"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w:t>
                  </w:r>
                </w:p>
              </w:tc>
              <w:tc>
                <w:tcPr>
                  <w:tcW w:w="1426"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易</w:t>
                  </w:r>
                </w:p>
              </w:tc>
              <w:tc>
                <w:tcPr>
                  <w:tcW w:w="1534" w:type="dxa"/>
                  <w:vMerge w:val="restart"/>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重金属、持久性有机污染物</w:t>
                  </w:r>
                </w:p>
              </w:tc>
              <w:tc>
                <w:tcPr>
                  <w:tcW w:w="2663" w:type="dxa"/>
                  <w:vMerge w:val="continue"/>
                  <w:tcBorders>
                    <w:tl2br w:val="nil"/>
                    <w:tr2bl w:val="nil"/>
                  </w:tcBorders>
                  <w:vAlign w:val="center"/>
                </w:tcPr>
                <w:p>
                  <w:pPr>
                    <w:jc w:val="center"/>
                    <w:rPr>
                      <w:rFonts w:hint="default" w:ascii="Times New Roman" w:hAnsi="Times New Roman" w:cs="Times New Roman"/>
                      <w:color w:val="auto"/>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vMerge w:val="continue"/>
                  <w:tcBorders>
                    <w:tl2br w:val="nil"/>
                    <w:tr2bl w:val="nil"/>
                  </w:tcBorders>
                  <w:vAlign w:val="center"/>
                </w:tcPr>
                <w:p>
                  <w:pPr>
                    <w:jc w:val="center"/>
                    <w:rPr>
                      <w:rFonts w:hint="default" w:ascii="Times New Roman" w:hAnsi="Times New Roman" w:cs="Times New Roman"/>
                      <w:color w:val="auto"/>
                      <w:szCs w:val="21"/>
                      <w:highlight w:val="none"/>
                    </w:rPr>
                  </w:pPr>
                </w:p>
              </w:tc>
              <w:tc>
                <w:tcPr>
                  <w:tcW w:w="1513"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强</w:t>
                  </w:r>
                </w:p>
              </w:tc>
              <w:tc>
                <w:tcPr>
                  <w:tcW w:w="1426"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易</w:t>
                  </w:r>
                </w:p>
              </w:tc>
              <w:tc>
                <w:tcPr>
                  <w:tcW w:w="1534" w:type="dxa"/>
                  <w:vMerge w:val="continue"/>
                  <w:tcBorders>
                    <w:tl2br w:val="nil"/>
                    <w:tr2bl w:val="nil"/>
                  </w:tcBorders>
                  <w:vAlign w:val="center"/>
                </w:tcPr>
                <w:p>
                  <w:pPr>
                    <w:jc w:val="center"/>
                    <w:rPr>
                      <w:rFonts w:hint="default" w:ascii="Times New Roman" w:hAnsi="Times New Roman" w:cs="Times New Roman"/>
                      <w:color w:val="auto"/>
                      <w:szCs w:val="21"/>
                      <w:highlight w:val="none"/>
                    </w:rPr>
                  </w:pPr>
                </w:p>
              </w:tc>
              <w:tc>
                <w:tcPr>
                  <w:tcW w:w="2663" w:type="dxa"/>
                  <w:vMerge w:val="continue"/>
                  <w:tcBorders>
                    <w:tl2br w:val="nil"/>
                    <w:tr2bl w:val="nil"/>
                  </w:tcBorders>
                  <w:vAlign w:val="center"/>
                </w:tcPr>
                <w:p>
                  <w:pPr>
                    <w:jc w:val="center"/>
                    <w:rPr>
                      <w:rFonts w:hint="default" w:ascii="Times New Roman" w:hAnsi="Times New Roman" w:cs="Times New Roman"/>
                      <w:color w:val="auto"/>
                      <w:szCs w:val="21"/>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简单防渗区</w:t>
                  </w:r>
                </w:p>
              </w:tc>
              <w:tc>
                <w:tcPr>
                  <w:tcW w:w="1513"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中-强</w:t>
                  </w:r>
                </w:p>
              </w:tc>
              <w:tc>
                <w:tcPr>
                  <w:tcW w:w="1426"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易</w:t>
                  </w:r>
                </w:p>
              </w:tc>
              <w:tc>
                <w:tcPr>
                  <w:tcW w:w="1534"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其他类型</w:t>
                  </w:r>
                </w:p>
              </w:tc>
              <w:tc>
                <w:tcPr>
                  <w:tcW w:w="2663"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一般地面硬化</w:t>
                  </w:r>
                </w:p>
              </w:tc>
            </w:tr>
          </w:tbl>
          <w:p>
            <w:pPr>
              <w:bidi w:val="0"/>
              <w:rPr>
                <w:rFonts w:hint="default" w:ascii="Times New Roman" w:hAnsi="Times New Roman" w:cs="Times New Roman"/>
                <w:color w:val="auto"/>
                <w:highlight w:val="none"/>
              </w:rPr>
            </w:pP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val="en-US" w:eastAsia="zh-CN"/>
              </w:rPr>
              <w:t>建成后全厂</w:t>
            </w:r>
            <w:r>
              <w:rPr>
                <w:rFonts w:hint="default" w:ascii="Times New Roman" w:hAnsi="Times New Roman" w:cs="Times New Roman"/>
                <w:color w:val="auto"/>
                <w:highlight w:val="none"/>
              </w:rPr>
              <w:t>防渗分区判定结果详见下表。</w:t>
            </w:r>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厂区防渗分区</w:t>
            </w:r>
            <w:r>
              <w:rPr>
                <w:rFonts w:hint="default" w:ascii="Times New Roman" w:hAnsi="Times New Roman" w:eastAsia="宋体" w:cs="Times New Roman"/>
                <w:color w:val="auto"/>
                <w:highlight w:val="none"/>
              </w:rPr>
              <w:t>一览表</w:t>
            </w:r>
          </w:p>
          <w:tbl>
            <w:tblPr>
              <w:tblStyle w:val="11"/>
              <w:tblW w:w="8407"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5"/>
              <w:gridCol w:w="1593"/>
              <w:gridCol w:w="883"/>
              <w:gridCol w:w="960"/>
              <w:gridCol w:w="1090"/>
              <w:gridCol w:w="1324"/>
              <w:gridCol w:w="1213"/>
              <w:gridCol w:w="86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75"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编号</w:t>
                  </w:r>
                </w:p>
              </w:tc>
              <w:tc>
                <w:tcPr>
                  <w:tcW w:w="1593"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判定内容</w:t>
                  </w:r>
                </w:p>
              </w:tc>
              <w:tc>
                <w:tcPr>
                  <w:tcW w:w="883"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天然包气带防污性能</w:t>
                  </w:r>
                </w:p>
              </w:tc>
              <w:tc>
                <w:tcPr>
                  <w:tcW w:w="960"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污染控制难易程度</w:t>
                  </w:r>
                </w:p>
              </w:tc>
              <w:tc>
                <w:tcPr>
                  <w:tcW w:w="1090"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污染物类型</w:t>
                  </w:r>
                </w:p>
              </w:tc>
              <w:tc>
                <w:tcPr>
                  <w:tcW w:w="1324"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判定结果</w:t>
                  </w:r>
                </w:p>
              </w:tc>
              <w:tc>
                <w:tcPr>
                  <w:tcW w:w="1213"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防渗区域</w:t>
                  </w:r>
                </w:p>
              </w:tc>
              <w:tc>
                <w:tcPr>
                  <w:tcW w:w="869"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现状</w:t>
                  </w:r>
                </w:p>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建设</w:t>
                  </w:r>
                </w:p>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593"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危废暂存间</w:t>
                  </w:r>
                </w:p>
              </w:tc>
              <w:tc>
                <w:tcPr>
                  <w:tcW w:w="883"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w:t>
                  </w:r>
                </w:p>
              </w:tc>
              <w:tc>
                <w:tcPr>
                  <w:tcW w:w="960" w:type="dxa"/>
                  <w:vMerge w:val="restart"/>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难</w:t>
                  </w:r>
                </w:p>
              </w:tc>
              <w:tc>
                <w:tcPr>
                  <w:tcW w:w="1090" w:type="dxa"/>
                  <w:vMerge w:val="restart"/>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持久性有机污染物</w:t>
                  </w:r>
                </w:p>
              </w:tc>
              <w:tc>
                <w:tcPr>
                  <w:tcW w:w="1324" w:type="dxa"/>
                  <w:vMerge w:val="restart"/>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重点防渗区</w:t>
                  </w:r>
                </w:p>
              </w:tc>
              <w:tc>
                <w:tcPr>
                  <w:tcW w:w="1213"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地面、墙体</w:t>
                  </w:r>
                </w:p>
              </w:tc>
              <w:tc>
                <w:tcPr>
                  <w:tcW w:w="869"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待完善</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1593"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储罐区基础</w:t>
                  </w:r>
                </w:p>
              </w:tc>
              <w:tc>
                <w:tcPr>
                  <w:tcW w:w="883"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w:t>
                  </w:r>
                </w:p>
              </w:tc>
              <w:tc>
                <w:tcPr>
                  <w:tcW w:w="960"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p>
              </w:tc>
              <w:tc>
                <w:tcPr>
                  <w:tcW w:w="1090"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p>
              </w:tc>
              <w:tc>
                <w:tcPr>
                  <w:tcW w:w="1324"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p>
              </w:tc>
              <w:tc>
                <w:tcPr>
                  <w:tcW w:w="1213"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地面</w:t>
                  </w:r>
                </w:p>
              </w:tc>
              <w:tc>
                <w:tcPr>
                  <w:tcW w:w="869"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已建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3</w:t>
                  </w:r>
                </w:p>
              </w:tc>
              <w:tc>
                <w:tcPr>
                  <w:tcW w:w="1593"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洗桶区</w:t>
                  </w:r>
                </w:p>
              </w:tc>
              <w:tc>
                <w:tcPr>
                  <w:tcW w:w="883"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中</w:t>
                  </w:r>
                </w:p>
              </w:tc>
              <w:tc>
                <w:tcPr>
                  <w:tcW w:w="960"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p>
              </w:tc>
              <w:tc>
                <w:tcPr>
                  <w:tcW w:w="1090"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p>
              </w:tc>
              <w:tc>
                <w:tcPr>
                  <w:tcW w:w="1324"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p>
              </w:tc>
              <w:tc>
                <w:tcPr>
                  <w:tcW w:w="1213"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地面</w:t>
                  </w:r>
                </w:p>
              </w:tc>
              <w:tc>
                <w:tcPr>
                  <w:tcW w:w="869"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待完善</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4</w:t>
                  </w:r>
                </w:p>
              </w:tc>
              <w:tc>
                <w:tcPr>
                  <w:tcW w:w="1593"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配料间</w:t>
                  </w:r>
                </w:p>
              </w:tc>
              <w:tc>
                <w:tcPr>
                  <w:tcW w:w="883"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中</w:t>
                  </w:r>
                </w:p>
              </w:tc>
              <w:tc>
                <w:tcPr>
                  <w:tcW w:w="960"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p>
              </w:tc>
              <w:tc>
                <w:tcPr>
                  <w:tcW w:w="1090"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p>
              </w:tc>
              <w:tc>
                <w:tcPr>
                  <w:tcW w:w="1324"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p>
              </w:tc>
              <w:tc>
                <w:tcPr>
                  <w:tcW w:w="1213"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地面</w:t>
                  </w:r>
                </w:p>
              </w:tc>
              <w:tc>
                <w:tcPr>
                  <w:tcW w:w="869"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待完善</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5</w:t>
                  </w:r>
                </w:p>
              </w:tc>
              <w:tc>
                <w:tcPr>
                  <w:tcW w:w="1593"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污水收集管道</w:t>
                  </w:r>
                </w:p>
              </w:tc>
              <w:tc>
                <w:tcPr>
                  <w:tcW w:w="883"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w:t>
                  </w:r>
                </w:p>
              </w:tc>
              <w:tc>
                <w:tcPr>
                  <w:tcW w:w="960"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p>
              </w:tc>
              <w:tc>
                <w:tcPr>
                  <w:tcW w:w="1090"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p>
              </w:tc>
              <w:tc>
                <w:tcPr>
                  <w:tcW w:w="1324"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p>
              </w:tc>
              <w:tc>
                <w:tcPr>
                  <w:tcW w:w="1213"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管道</w:t>
                  </w:r>
                </w:p>
              </w:tc>
              <w:tc>
                <w:tcPr>
                  <w:tcW w:w="869"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已建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6</w:t>
                  </w:r>
                </w:p>
              </w:tc>
              <w:tc>
                <w:tcPr>
                  <w:tcW w:w="1593"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储罐区围堰</w:t>
                  </w:r>
                </w:p>
              </w:tc>
              <w:tc>
                <w:tcPr>
                  <w:tcW w:w="883"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w:t>
                  </w:r>
                </w:p>
              </w:tc>
              <w:tc>
                <w:tcPr>
                  <w:tcW w:w="960"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易</w:t>
                  </w:r>
                </w:p>
              </w:tc>
              <w:tc>
                <w:tcPr>
                  <w:tcW w:w="1090"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持久性有机污染物</w:t>
                  </w:r>
                </w:p>
              </w:tc>
              <w:tc>
                <w:tcPr>
                  <w:tcW w:w="1324" w:type="dxa"/>
                  <w:vMerge w:val="restart"/>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一般防渗区</w:t>
                  </w:r>
                </w:p>
              </w:tc>
              <w:tc>
                <w:tcPr>
                  <w:tcW w:w="1213"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地面、墙体</w:t>
                  </w:r>
                </w:p>
              </w:tc>
              <w:tc>
                <w:tcPr>
                  <w:tcW w:w="869"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已建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7</w:t>
                  </w:r>
                </w:p>
              </w:tc>
              <w:tc>
                <w:tcPr>
                  <w:tcW w:w="1593"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DMF回收设备</w:t>
                  </w:r>
                </w:p>
              </w:tc>
              <w:tc>
                <w:tcPr>
                  <w:tcW w:w="883"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中</w:t>
                  </w:r>
                </w:p>
              </w:tc>
              <w:tc>
                <w:tcPr>
                  <w:tcW w:w="960"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eastAsia="zh-CN"/>
                    </w:rPr>
                  </w:pPr>
                </w:p>
              </w:tc>
              <w:tc>
                <w:tcPr>
                  <w:tcW w:w="1090"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p>
              </w:tc>
              <w:tc>
                <w:tcPr>
                  <w:tcW w:w="1324"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p>
              </w:tc>
              <w:tc>
                <w:tcPr>
                  <w:tcW w:w="1213"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地面</w:t>
                  </w:r>
                </w:p>
              </w:tc>
              <w:tc>
                <w:tcPr>
                  <w:tcW w:w="869"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未建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8</w:t>
                  </w:r>
                </w:p>
              </w:tc>
              <w:tc>
                <w:tcPr>
                  <w:tcW w:w="1593"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生产车间</w:t>
                  </w:r>
                </w:p>
              </w:tc>
              <w:tc>
                <w:tcPr>
                  <w:tcW w:w="883"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w:t>
                  </w:r>
                </w:p>
              </w:tc>
              <w:tc>
                <w:tcPr>
                  <w:tcW w:w="960"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p>
              </w:tc>
              <w:tc>
                <w:tcPr>
                  <w:tcW w:w="1090"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p>
              </w:tc>
              <w:tc>
                <w:tcPr>
                  <w:tcW w:w="1324"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p>
              </w:tc>
              <w:tc>
                <w:tcPr>
                  <w:tcW w:w="1213"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地面</w:t>
                  </w:r>
                </w:p>
              </w:tc>
              <w:tc>
                <w:tcPr>
                  <w:tcW w:w="869"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已建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9</w:t>
                  </w:r>
                </w:p>
              </w:tc>
              <w:tc>
                <w:tcPr>
                  <w:tcW w:w="1593"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1#仓库</w:t>
                  </w:r>
                </w:p>
              </w:tc>
              <w:tc>
                <w:tcPr>
                  <w:tcW w:w="883"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中</w:t>
                  </w:r>
                </w:p>
              </w:tc>
              <w:tc>
                <w:tcPr>
                  <w:tcW w:w="960"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p>
              </w:tc>
              <w:tc>
                <w:tcPr>
                  <w:tcW w:w="1090"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p>
              </w:tc>
              <w:tc>
                <w:tcPr>
                  <w:tcW w:w="1324"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p>
              </w:tc>
              <w:tc>
                <w:tcPr>
                  <w:tcW w:w="1213"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地面</w:t>
                  </w:r>
                </w:p>
              </w:tc>
              <w:tc>
                <w:tcPr>
                  <w:tcW w:w="869"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待完善</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10</w:t>
                  </w:r>
                </w:p>
              </w:tc>
              <w:tc>
                <w:tcPr>
                  <w:tcW w:w="1593"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事故应急池</w:t>
                  </w:r>
                </w:p>
              </w:tc>
              <w:tc>
                <w:tcPr>
                  <w:tcW w:w="883"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中</w:t>
                  </w:r>
                </w:p>
              </w:tc>
              <w:tc>
                <w:tcPr>
                  <w:tcW w:w="960"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p>
              </w:tc>
              <w:tc>
                <w:tcPr>
                  <w:tcW w:w="1090"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p>
              </w:tc>
              <w:tc>
                <w:tcPr>
                  <w:tcW w:w="1324"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p>
              </w:tc>
              <w:tc>
                <w:tcPr>
                  <w:tcW w:w="1213"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池体</w:t>
                  </w:r>
                </w:p>
              </w:tc>
              <w:tc>
                <w:tcPr>
                  <w:tcW w:w="869"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已建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11</w:t>
                  </w:r>
                </w:p>
              </w:tc>
              <w:tc>
                <w:tcPr>
                  <w:tcW w:w="1593"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一般固废暂存区</w:t>
                  </w:r>
                </w:p>
              </w:tc>
              <w:tc>
                <w:tcPr>
                  <w:tcW w:w="883"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w:t>
                  </w:r>
                </w:p>
              </w:tc>
              <w:tc>
                <w:tcPr>
                  <w:tcW w:w="960"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eastAsia="zh-CN"/>
                    </w:rPr>
                  </w:pPr>
                </w:p>
              </w:tc>
              <w:tc>
                <w:tcPr>
                  <w:tcW w:w="1090"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p>
              </w:tc>
              <w:tc>
                <w:tcPr>
                  <w:tcW w:w="1324" w:type="dxa"/>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p>
              </w:tc>
              <w:tc>
                <w:tcPr>
                  <w:tcW w:w="1213" w:type="dxa"/>
                  <w:tcBorders>
                    <w:tl2br w:val="nil"/>
                    <w:tr2bl w:val="nil"/>
                  </w:tcBorders>
                  <w:vAlign w:val="center"/>
                </w:tcPr>
                <w:p>
                  <w:pPr>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地面</w:t>
                  </w:r>
                </w:p>
              </w:tc>
              <w:tc>
                <w:tcPr>
                  <w:tcW w:w="869" w:type="dxa"/>
                  <w:tcBorders>
                    <w:tl2br w:val="nil"/>
                    <w:tr2bl w:val="nil"/>
                  </w:tcBorders>
                  <w:vAlign w:val="center"/>
                </w:tcPr>
                <w:p>
                  <w:pPr>
                    <w:adjustRightInd w:val="0"/>
                    <w:snapToGrid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待完善</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5"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w:t>
                  </w:r>
                </w:p>
              </w:tc>
              <w:tc>
                <w:tcPr>
                  <w:tcW w:w="1593"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其他区域</w:t>
                  </w:r>
                </w:p>
              </w:tc>
              <w:tc>
                <w:tcPr>
                  <w:tcW w:w="883"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中</w:t>
                  </w:r>
                </w:p>
              </w:tc>
              <w:tc>
                <w:tcPr>
                  <w:tcW w:w="960"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易</w:t>
                  </w:r>
                </w:p>
              </w:tc>
              <w:tc>
                <w:tcPr>
                  <w:tcW w:w="1090"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其他类型</w:t>
                  </w:r>
                </w:p>
              </w:tc>
              <w:tc>
                <w:tcPr>
                  <w:tcW w:w="1324" w:type="dxa"/>
                  <w:tcBorders>
                    <w:tl2br w:val="nil"/>
                    <w:tr2bl w:val="nil"/>
                  </w:tcBorders>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简单防渗区</w:t>
                  </w:r>
                </w:p>
              </w:tc>
              <w:tc>
                <w:tcPr>
                  <w:tcW w:w="1213" w:type="dxa"/>
                  <w:tcBorders>
                    <w:tl2br w:val="nil"/>
                    <w:tr2bl w:val="nil"/>
                  </w:tcBorders>
                  <w:vAlign w:val="center"/>
                </w:tcPr>
                <w:p>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地面</w:t>
                  </w:r>
                </w:p>
              </w:tc>
              <w:tc>
                <w:tcPr>
                  <w:tcW w:w="869"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已建</w:t>
                  </w:r>
                </w:p>
              </w:tc>
            </w:tr>
          </w:tbl>
          <w:p>
            <w:pPr>
              <w:pStyle w:val="5"/>
              <w:spacing w:line="240" w:lineRule="auto"/>
              <w:ind w:firstLine="480"/>
              <w:rPr>
                <w:rFonts w:hint="default" w:ascii="Times New Roman" w:hAnsi="Times New Roman" w:cs="Times New Roman"/>
                <w:color w:val="auto"/>
                <w:highlight w:val="none"/>
              </w:rPr>
            </w:pP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由判定结果可知，本项目危险废物暂存间、</w:t>
            </w:r>
            <w:r>
              <w:rPr>
                <w:rFonts w:hint="default" w:ascii="Times New Roman" w:hAnsi="Times New Roman" w:cs="Times New Roman"/>
                <w:color w:val="auto"/>
                <w:highlight w:val="none"/>
                <w:lang w:val="en-US" w:eastAsia="zh-CN"/>
              </w:rPr>
              <w:t>洗桶区</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配料间须按照</w:t>
            </w:r>
            <w:r>
              <w:rPr>
                <w:rFonts w:hint="default" w:ascii="Times New Roman" w:hAnsi="Times New Roman" w:cs="Times New Roman"/>
                <w:color w:val="auto"/>
                <w:highlight w:val="none"/>
              </w:rPr>
              <w:t>重点防渗区</w:t>
            </w:r>
            <w:r>
              <w:rPr>
                <w:rFonts w:hint="default" w:ascii="Times New Roman" w:hAnsi="Times New Roman" w:cs="Times New Roman"/>
                <w:color w:val="auto"/>
                <w:highlight w:val="none"/>
                <w:lang w:val="en-US" w:eastAsia="zh-CN"/>
              </w:rPr>
              <w:t>提升防渗措施</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一般固废暂存区须按照</w:t>
            </w:r>
            <w:r>
              <w:rPr>
                <w:rFonts w:hint="default" w:ascii="Times New Roman" w:hAnsi="Times New Roman" w:cs="Times New Roman"/>
                <w:color w:val="auto"/>
                <w:highlight w:val="none"/>
              </w:rPr>
              <w:t>一般防渗区</w:t>
            </w:r>
            <w:r>
              <w:rPr>
                <w:rFonts w:hint="default" w:ascii="Times New Roman" w:hAnsi="Times New Roman" w:cs="Times New Roman"/>
                <w:color w:val="auto"/>
                <w:highlight w:val="none"/>
                <w:lang w:val="en-US" w:eastAsia="zh-CN"/>
              </w:rPr>
              <w:t>提升防渗措施。防渗</w:t>
            </w:r>
            <w:r>
              <w:rPr>
                <w:rFonts w:hint="default" w:ascii="Times New Roman" w:hAnsi="Times New Roman" w:cs="Times New Roman"/>
                <w:color w:val="auto"/>
                <w:highlight w:val="none"/>
              </w:rPr>
              <w:t>分区详见附图</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②</w:t>
            </w:r>
            <w:r>
              <w:rPr>
                <w:rFonts w:hint="default" w:ascii="Times New Roman" w:hAnsi="Times New Roman" w:cs="Times New Roman"/>
                <w:color w:val="auto"/>
                <w:highlight w:val="none"/>
              </w:rPr>
              <w:t>防渗要求</w:t>
            </w:r>
          </w:p>
          <w:p>
            <w:pPr>
              <w:pStyle w:val="5"/>
              <w:ind w:left="420" w:leftChars="20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A.</w:t>
            </w:r>
            <w:r>
              <w:rPr>
                <w:rFonts w:hint="default" w:ascii="Times New Roman" w:hAnsi="Times New Roman" w:cs="Times New Roman"/>
                <w:color w:val="auto"/>
                <w:highlight w:val="none"/>
              </w:rPr>
              <w:t>重点防渗区</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指污染地下水环境的物料泄漏后，不容易被及时发现和处理的区域。本项目重点污染防治区主要包括危险废物暂存间、</w:t>
            </w:r>
            <w:r>
              <w:rPr>
                <w:rFonts w:hint="default" w:ascii="Times New Roman" w:hAnsi="Times New Roman" w:cs="Times New Roman"/>
                <w:color w:val="auto"/>
                <w:highlight w:val="none"/>
                <w:lang w:val="en-US" w:eastAsia="zh-CN"/>
              </w:rPr>
              <w:t>配料间、洗桶区</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储罐区基础、污水收集管道</w:t>
            </w:r>
            <w:r>
              <w:rPr>
                <w:rFonts w:hint="default" w:ascii="Times New Roman" w:hAnsi="Times New Roman" w:cs="Times New Roman"/>
                <w:color w:val="auto"/>
                <w:highlight w:val="none"/>
              </w:rPr>
              <w:t>。</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重点污染区防渗要求：</w:t>
            </w:r>
            <w:r>
              <w:rPr>
                <w:rFonts w:hint="default" w:ascii="Times New Roman" w:hAnsi="Times New Roman" w:cs="Times New Roman"/>
                <w:color w:val="auto"/>
                <w:highlight w:val="none"/>
                <w:lang w:val="en-US" w:eastAsia="zh-CN"/>
              </w:rPr>
              <w:t>参照</w:t>
            </w:r>
            <w:r>
              <w:rPr>
                <w:rFonts w:hint="default" w:ascii="Times New Roman" w:hAnsi="Times New Roman" w:cs="Times New Roman"/>
                <w:color w:val="auto"/>
                <w:highlight w:val="none"/>
              </w:rPr>
              <w:t>《危险废物贮存污染控制标准》（GB18597-2001）、《危险废物污染防治技术政策》等危险废物处理的相关标准、法律法规的要求</w:t>
            </w:r>
            <w:r>
              <w:rPr>
                <w:rFonts w:hint="default" w:ascii="Times New Roman" w:hAnsi="Times New Roman" w:cs="Times New Roman"/>
                <w:color w:val="auto"/>
                <w:highlight w:val="none"/>
                <w:lang w:val="en-US" w:eastAsia="zh-CN"/>
              </w:rPr>
              <w:t>进行设计，</w:t>
            </w:r>
            <w:r>
              <w:rPr>
                <w:rFonts w:hint="default" w:ascii="Times New Roman" w:hAnsi="Times New Roman" w:cs="Times New Roman"/>
                <w:color w:val="auto"/>
                <w:highlight w:val="none"/>
              </w:rPr>
              <w:t>防渗层为至少1m厚黏土层（渗透系数≤10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cm/s），或2mm厚高密度聚氯乙烯，或至少2mm厚的其它人工材料，渗透系数≤10</w:t>
            </w:r>
            <w:r>
              <w:rPr>
                <w:rFonts w:hint="default" w:ascii="Times New Roman" w:hAnsi="Times New Roman" w:cs="Times New Roman"/>
                <w:color w:val="auto"/>
                <w:highlight w:val="none"/>
                <w:vertAlign w:val="superscript"/>
              </w:rPr>
              <w:t>-10</w:t>
            </w:r>
            <w:r>
              <w:rPr>
                <w:rFonts w:hint="default" w:ascii="Times New Roman" w:hAnsi="Times New Roman" w:cs="Times New Roman"/>
                <w:color w:val="auto"/>
                <w:highlight w:val="none"/>
              </w:rPr>
              <w:t>cm/s。</w:t>
            </w:r>
          </w:p>
          <w:p>
            <w:pPr>
              <w:pStyle w:val="5"/>
              <w:ind w:left="420" w:leftChars="20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B.</w:t>
            </w:r>
            <w:r>
              <w:rPr>
                <w:rFonts w:hint="default" w:ascii="Times New Roman" w:hAnsi="Times New Roman" w:cs="Times New Roman"/>
                <w:color w:val="auto"/>
                <w:highlight w:val="none"/>
              </w:rPr>
              <w:t>一般防渗区</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指裸露于地面的生产功能单元，污染地下水环境的物料泄漏后，容易被及时发现和处理的区域。本项目主要包括生产车间、</w:t>
            </w:r>
            <w:r>
              <w:rPr>
                <w:rFonts w:hint="default" w:ascii="Times New Roman" w:hAnsi="Times New Roman" w:cs="Times New Roman"/>
                <w:color w:val="auto"/>
                <w:highlight w:val="none"/>
                <w:lang w:val="en-US" w:eastAsia="zh-CN"/>
              </w:rPr>
              <w:t>DMF回收设备、一般固废暂存区、1#仓库、事故应急池储罐区围堰</w:t>
            </w:r>
            <w:r>
              <w:rPr>
                <w:rFonts w:hint="default" w:ascii="Times New Roman" w:hAnsi="Times New Roman" w:cs="Times New Roman"/>
                <w:color w:val="auto"/>
                <w:highlight w:val="none"/>
              </w:rPr>
              <w:t>等区域。</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对于一般污染防治区，参照《一般工业固体废物贮存和填埋场污染控制标准》(GB18599-2020)Ⅱ类场进行设计。</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一般污染区防渗要求：</w:t>
            </w:r>
            <w:r>
              <w:rPr>
                <w:rFonts w:hint="default" w:ascii="Times New Roman" w:hAnsi="Times New Roman" w:cs="Times New Roman"/>
                <w:color w:val="auto"/>
                <w:highlight w:val="none"/>
                <w:lang w:bidi="ar"/>
              </w:rPr>
              <w:t>人工合成材料应采用高密度聚乙烯膜，厚度不小于1.5 mm，并满足GB/T17643规定的技术指标要求。采用其他人工合成材料的，其防渗性能至少相当于1.5 mm高密度聚乙烯膜的防渗性能。粘土衬层厚度应不小于0.75 m，且经压实、人工改性等措施处理后的饱和渗透系数不应大于1.0×10</w:t>
            </w:r>
            <w:r>
              <w:rPr>
                <w:rFonts w:hint="default" w:ascii="Times New Roman" w:hAnsi="Times New Roman" w:cs="Times New Roman"/>
                <w:color w:val="auto"/>
                <w:highlight w:val="none"/>
                <w:vertAlign w:val="superscript"/>
                <w:lang w:bidi="ar"/>
              </w:rPr>
              <w:t>-7</w:t>
            </w:r>
            <w:r>
              <w:rPr>
                <w:rFonts w:hint="default" w:ascii="Times New Roman" w:hAnsi="Times New Roman" w:cs="Times New Roman"/>
                <w:color w:val="auto"/>
                <w:highlight w:val="none"/>
                <w:lang w:bidi="ar"/>
              </w:rPr>
              <w:t>cm/s。使用其他粘土类防渗衬层材料时，应具有同等以上隔水效力。</w:t>
            </w:r>
          </w:p>
          <w:p>
            <w:pPr>
              <w:pStyle w:val="5"/>
              <w:ind w:left="420" w:leftChars="20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C.</w:t>
            </w:r>
            <w:r>
              <w:rPr>
                <w:rFonts w:hint="default" w:ascii="Times New Roman" w:hAnsi="Times New Roman" w:cs="Times New Roman"/>
                <w:color w:val="auto"/>
                <w:highlight w:val="none"/>
              </w:rPr>
              <w:t>简单防渗区</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指不会对地下水环境造成污染的区域</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如办公楼、厂区道路等其他区域</w:t>
            </w:r>
            <w:r>
              <w:rPr>
                <w:rFonts w:hint="default" w:ascii="Times New Roman" w:hAnsi="Times New Roman" w:cs="Times New Roman"/>
                <w:color w:val="auto"/>
                <w:highlight w:val="none"/>
              </w:rPr>
              <w:t>。对于基本上不产生污染物的非污染防治区，不采取专门针对地下水污染的防治措施，但装置区外系统管廊区地基处理应分层压实。</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为保证防渗工程正常施工、运行，达到设计防渗等级，应对工程质量进行管理控制：</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a.选择具有相应资质的设计单位对工程进行设计，防渗工程的设计符合相应要求及设计规范；</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b.工程材料符合设计要求，并按照有关规定和要求进行质量检验，保证使用材料全部合格；</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c.聘请优秀专业施工队伍，施工方法符合规范要求；</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d.工程完工后应进行质量检测；</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e.在防渗措施投入使用后，应加强日常的维护管理。</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综上所述，采取分区防渗等措施后，对土壤及地下水环境影响较小，防治措施可行。</w:t>
            </w:r>
          </w:p>
          <w:p>
            <w:pPr>
              <w:pStyle w:val="5"/>
              <w:numPr>
                <w:ilvl w:val="0"/>
                <w:numId w:val="0"/>
              </w:numPr>
              <w:bidi w:val="0"/>
              <w:ind w:left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跟踪监测计划</w:t>
            </w:r>
          </w:p>
          <w:p>
            <w:pPr>
              <w:pStyle w:val="5"/>
              <w:bidi w:val="0"/>
              <w:rPr>
                <w:rStyle w:val="18"/>
                <w:rFonts w:hint="default" w:ascii="Times New Roman" w:hAnsi="Times New Roman" w:cs="Times New Roman"/>
                <w:color w:val="auto"/>
                <w:highlight w:val="none"/>
              </w:rPr>
            </w:pPr>
            <w:r>
              <w:rPr>
                <w:rStyle w:val="18"/>
                <w:rFonts w:hint="default" w:ascii="Times New Roman" w:hAnsi="Times New Roman" w:cs="Times New Roman"/>
                <w:color w:val="auto"/>
                <w:highlight w:val="none"/>
                <w:lang w:val="en-US" w:eastAsia="zh-CN"/>
              </w:rPr>
              <w:t>建设单位不属于福鼎市土壤污染重点监管单位名录中的排污单位，根据《排污单位自行监测技术指南 工业固体废物和危险废物治理》（HJ 1250—2022）等相关规范、指南文件的要求，本项目在厂区下游布设1口地下水跟踪监测井和1个土壤跟踪监测点，</w:t>
            </w:r>
            <w:r>
              <w:rPr>
                <w:rStyle w:val="18"/>
                <w:rFonts w:hint="default" w:ascii="Times New Roman" w:hAnsi="Times New Roman" w:cs="Times New Roman"/>
                <w:color w:val="auto"/>
                <w:highlight w:val="none"/>
              </w:rPr>
              <w:t>厂区地下水、土壤跟踪监测计划详见下表。</w:t>
            </w:r>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厂区</w:t>
            </w:r>
            <w:r>
              <w:rPr>
                <w:rFonts w:hint="default" w:ascii="Times New Roman" w:hAnsi="Times New Roman" w:eastAsia="宋体" w:cs="Times New Roman"/>
                <w:color w:val="auto"/>
                <w:highlight w:val="none"/>
              </w:rPr>
              <w:t>地下水</w:t>
            </w:r>
            <w:r>
              <w:rPr>
                <w:rFonts w:hint="default" w:ascii="Times New Roman" w:hAnsi="Times New Roman" w:cs="Times New Roman"/>
                <w:color w:val="auto"/>
                <w:highlight w:val="none"/>
              </w:rPr>
              <w:t>、土壤跟踪监测计划一览表</w:t>
            </w:r>
          </w:p>
          <w:tbl>
            <w:tblPr>
              <w:tblStyle w:val="11"/>
              <w:tblW w:w="8398"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3"/>
              <w:gridCol w:w="667"/>
              <w:gridCol w:w="1580"/>
              <w:gridCol w:w="2830"/>
              <w:gridCol w:w="745"/>
              <w:gridCol w:w="194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33"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类别</w:t>
                  </w:r>
                </w:p>
              </w:tc>
              <w:tc>
                <w:tcPr>
                  <w:tcW w:w="667"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监测点位</w:t>
                  </w:r>
                </w:p>
              </w:tc>
              <w:tc>
                <w:tcPr>
                  <w:tcW w:w="1580"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监测点位坐标</w:t>
                  </w:r>
                </w:p>
              </w:tc>
              <w:tc>
                <w:tcPr>
                  <w:tcW w:w="2830" w:type="dxa"/>
                  <w:tcBorders>
                    <w:tl2br w:val="nil"/>
                    <w:tr2bl w:val="nil"/>
                  </w:tcBorders>
                  <w:vAlign w:val="center"/>
                </w:tcPr>
                <w:p>
                  <w:pPr>
                    <w:pStyle w:val="16"/>
                    <w:rPr>
                      <w:rFonts w:hint="default" w:ascii="Times New Roman" w:hAnsi="Times New Roman" w:cs="Times New Roman"/>
                      <w:b/>
                      <w:bCs/>
                      <w:color w:val="auto"/>
                      <w:highlight w:val="none"/>
                    </w:rPr>
                  </w:pPr>
                  <w:r>
                    <w:rPr>
                      <w:rFonts w:hint="default" w:ascii="Times New Roman" w:hAnsi="Times New Roman" w:cs="Times New Roman"/>
                      <w:color w:val="auto"/>
                      <w:highlight w:val="none"/>
                    </w:rPr>
                    <w:t>监测因子</w:t>
                  </w:r>
                </w:p>
              </w:tc>
              <w:tc>
                <w:tcPr>
                  <w:tcW w:w="745"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监测频率</w:t>
                  </w:r>
                </w:p>
              </w:tc>
              <w:tc>
                <w:tcPr>
                  <w:tcW w:w="1943"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kern w:val="0"/>
                      <w:szCs w:val="21"/>
                      <w:highlight w:val="none"/>
                    </w:rPr>
                    <w:t>执行标准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633" w:type="dxa"/>
                  <w:tcBorders>
                    <w:tl2br w:val="nil"/>
                    <w:tr2bl w:val="nil"/>
                  </w:tcBorders>
                  <w:vAlign w:val="center"/>
                </w:tcPr>
                <w:p>
                  <w:pPr>
                    <w:widowControl/>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kern w:val="0"/>
                      <w:szCs w:val="21"/>
                      <w:highlight w:val="none"/>
                    </w:rPr>
                    <w:t>T1</w:t>
                  </w:r>
                </w:p>
              </w:tc>
              <w:tc>
                <w:tcPr>
                  <w:tcW w:w="667"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kern w:val="0"/>
                      <w:szCs w:val="21"/>
                      <w:highlight w:val="none"/>
                      <w:lang w:val="en-US" w:eastAsia="zh-CN"/>
                    </w:rPr>
                    <w:t>厂区下游</w:t>
                  </w:r>
                </w:p>
              </w:tc>
              <w:tc>
                <w:tcPr>
                  <w:tcW w:w="1580" w:type="dxa"/>
                  <w:tcBorders>
                    <w:tl2br w:val="nil"/>
                    <w:tr2bl w:val="nil"/>
                  </w:tcBorders>
                  <w:vAlign w:val="center"/>
                </w:tcPr>
                <w:p>
                  <w:pPr>
                    <w:pStyle w:val="16"/>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120.25133</w:t>
                  </w:r>
                  <w:r>
                    <w:rPr>
                      <w:rFonts w:hint="default" w:ascii="Times New Roman" w:hAnsi="Times New Roman" w:cs="Times New Roman"/>
                      <w:color w:val="auto"/>
                      <w:highlight w:val="none"/>
                      <w:lang w:val="en-US" w:eastAsia="zh-CN"/>
                    </w:rPr>
                    <w:t>2°E</w:t>
                  </w:r>
                </w:p>
                <w:p>
                  <w:pPr>
                    <w:pStyle w:val="1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27.06322</w:t>
                  </w:r>
                  <w:r>
                    <w:rPr>
                      <w:rFonts w:hint="default" w:ascii="Times New Roman" w:hAnsi="Times New Roman" w:cs="Times New Roman"/>
                      <w:color w:val="auto"/>
                      <w:highlight w:val="none"/>
                      <w:lang w:val="en-US" w:eastAsia="zh-CN"/>
                    </w:rPr>
                    <w:t>9°N</w:t>
                  </w:r>
                </w:p>
              </w:tc>
              <w:tc>
                <w:tcPr>
                  <w:tcW w:w="2830" w:type="dxa"/>
                  <w:tcBorders>
                    <w:tl2br w:val="nil"/>
                    <w:tr2bl w:val="nil"/>
                  </w:tcBorders>
                  <w:vAlign w:val="center"/>
                </w:tcPr>
                <w:p>
                  <w:pPr>
                    <w:pStyle w:val="16"/>
                    <w:rPr>
                      <w:rFonts w:hint="default" w:ascii="Times New Roman" w:hAnsi="Times New Roman" w:cs="Times New Roman"/>
                      <w:b/>
                      <w:bCs/>
                      <w:color w:val="auto"/>
                      <w:highlight w:val="none"/>
                    </w:rPr>
                  </w:pPr>
                  <w:r>
                    <w:rPr>
                      <w:rFonts w:hint="default" w:ascii="Times New Roman" w:hAnsi="Times New Roman" w:cs="Times New Roman"/>
                      <w:color w:val="auto"/>
                      <w:highlight w:val="none"/>
                    </w:rPr>
                    <w:t>《土壤环境质量 建设用地土壤污染风险管控标准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试行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》(GB36600-2018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表1中45项</w:t>
                  </w:r>
                  <w:r>
                    <w:rPr>
                      <w:rFonts w:hint="default" w:ascii="Times New Roman" w:hAnsi="Times New Roman" w:cs="Times New Roman"/>
                      <w:color w:val="auto"/>
                      <w:kern w:val="2"/>
                      <w:highlight w:val="none"/>
                    </w:rPr>
                    <w:t>、石油烃（C</w:t>
                  </w:r>
                  <w:r>
                    <w:rPr>
                      <w:rFonts w:hint="default" w:ascii="Times New Roman" w:hAnsi="Times New Roman" w:cs="Times New Roman"/>
                      <w:color w:val="auto"/>
                      <w:kern w:val="2"/>
                      <w:highlight w:val="none"/>
                      <w:vertAlign w:val="subscript"/>
                    </w:rPr>
                    <w:t>10</w:t>
                  </w:r>
                  <w:r>
                    <w:rPr>
                      <w:rFonts w:hint="default" w:ascii="Times New Roman" w:hAnsi="Times New Roman" w:cs="Times New Roman"/>
                      <w:color w:val="auto"/>
                      <w:kern w:val="2"/>
                      <w:highlight w:val="none"/>
                    </w:rPr>
                    <w:t>-C</w:t>
                  </w:r>
                  <w:r>
                    <w:rPr>
                      <w:rFonts w:hint="default" w:ascii="Times New Roman" w:hAnsi="Times New Roman" w:cs="Times New Roman"/>
                      <w:color w:val="auto"/>
                      <w:kern w:val="2"/>
                      <w:highlight w:val="none"/>
                      <w:vertAlign w:val="subscript"/>
                    </w:rPr>
                    <w:t>40</w:t>
                  </w:r>
                  <w:r>
                    <w:rPr>
                      <w:rFonts w:hint="default" w:ascii="Times New Roman" w:hAnsi="Times New Roman" w:cs="Times New Roman"/>
                      <w:color w:val="auto"/>
                      <w:kern w:val="2"/>
                      <w:highlight w:val="none"/>
                    </w:rPr>
                    <w:t>）</w:t>
                  </w:r>
                </w:p>
              </w:tc>
              <w:tc>
                <w:tcPr>
                  <w:tcW w:w="745"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1次/5年</w:t>
                  </w:r>
                </w:p>
              </w:tc>
              <w:tc>
                <w:tcPr>
                  <w:tcW w:w="1943"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kern w:val="0"/>
                      <w:szCs w:val="21"/>
                      <w:highlight w:val="none"/>
                    </w:rPr>
                    <w:t>《土壤环境质量 建设用地土壤污染风险管控标准（试行）》（GB36600-2018）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6" w:hRule="atLeast"/>
              </w:trPr>
              <w:tc>
                <w:tcPr>
                  <w:tcW w:w="633" w:type="dxa"/>
                  <w:tcBorders>
                    <w:tl2br w:val="nil"/>
                    <w:tr2bl w:val="nil"/>
                  </w:tcBorders>
                  <w:vAlign w:val="center"/>
                </w:tcPr>
                <w:p>
                  <w:pPr>
                    <w:widowControl/>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D1</w:t>
                  </w:r>
                </w:p>
              </w:tc>
              <w:tc>
                <w:tcPr>
                  <w:tcW w:w="667"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厂区下游</w:t>
                  </w:r>
                </w:p>
              </w:tc>
              <w:tc>
                <w:tcPr>
                  <w:tcW w:w="1580" w:type="dxa"/>
                  <w:tcBorders>
                    <w:tl2br w:val="nil"/>
                    <w:tr2bl w:val="nil"/>
                  </w:tcBorders>
                  <w:vAlign w:val="center"/>
                </w:tcPr>
                <w:p>
                  <w:pPr>
                    <w:pStyle w:val="16"/>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120.25133</w:t>
                  </w:r>
                  <w:r>
                    <w:rPr>
                      <w:rFonts w:hint="default" w:ascii="Times New Roman" w:hAnsi="Times New Roman" w:cs="Times New Roman"/>
                      <w:color w:val="auto"/>
                      <w:highlight w:val="none"/>
                      <w:lang w:val="en-US" w:eastAsia="zh-CN"/>
                    </w:rPr>
                    <w:t>2°E</w:t>
                  </w:r>
                </w:p>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27.06322</w:t>
                  </w:r>
                  <w:r>
                    <w:rPr>
                      <w:rFonts w:hint="default" w:ascii="Times New Roman" w:hAnsi="Times New Roman" w:cs="Times New Roman"/>
                      <w:color w:val="auto"/>
                      <w:highlight w:val="none"/>
                      <w:lang w:val="en-US" w:eastAsia="zh-CN"/>
                    </w:rPr>
                    <w:t>9°N</w:t>
                  </w:r>
                </w:p>
              </w:tc>
              <w:tc>
                <w:tcPr>
                  <w:tcW w:w="2830" w:type="dxa"/>
                  <w:tcBorders>
                    <w:tl2br w:val="nil"/>
                    <w:tr2bl w:val="nil"/>
                  </w:tcBorders>
                  <w:vAlign w:val="center"/>
                </w:tcPr>
                <w:p>
                  <w:pPr>
                    <w:pStyle w:val="16"/>
                    <w:rPr>
                      <w:rFonts w:hint="default" w:ascii="Times New Roman" w:hAnsi="Times New Roman" w:cs="Times New Roman"/>
                      <w:color w:val="auto"/>
                      <w:kern w:val="0"/>
                      <w:szCs w:val="21"/>
                      <w:highlight w:val="none"/>
                    </w:rPr>
                  </w:pPr>
                  <w:r>
                    <w:rPr>
                      <w:rFonts w:hint="default" w:ascii="Times New Roman" w:hAnsi="Times New Roman" w:cs="Times New Roman"/>
                      <w:color w:val="auto"/>
                      <w:sz w:val="21"/>
                      <w:szCs w:val="21"/>
                      <w:highlight w:val="none"/>
                      <w:lang w:val="en-US" w:eastAsia="zh-CN"/>
                    </w:rPr>
                    <w:t>pH、氨氮、硝酸盐、亚硝酸盐、挥发性酚类、氰化物、砷、汞、六价铬、总硬度、铅、氟、镉、铁、锰、溶解性总固体、高锰酸盐指数、硫酸盐、氯化物、总大肠菌群、细菌总数</w:t>
                  </w:r>
                </w:p>
              </w:tc>
              <w:tc>
                <w:tcPr>
                  <w:tcW w:w="745" w:type="dxa"/>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1次/年</w:t>
                  </w:r>
                </w:p>
              </w:tc>
              <w:tc>
                <w:tcPr>
                  <w:tcW w:w="1943" w:type="dxa"/>
                  <w:tcBorders>
                    <w:tl2br w:val="nil"/>
                    <w:tr2bl w:val="nil"/>
                  </w:tcBorders>
                  <w:vAlign w:val="center"/>
                </w:tcPr>
                <w:p>
                  <w:pPr>
                    <w:pStyle w:val="16"/>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《地下水质量标准》(GB-T 14848-2017)</w:t>
                  </w:r>
                  <w:r>
                    <w:rPr>
                      <w:rFonts w:hint="default" w:ascii="Times New Roman" w:hAnsi="Times New Roman" w:cs="Times New Roman"/>
                      <w:color w:val="auto"/>
                      <w:kern w:val="0"/>
                      <w:szCs w:val="21"/>
                      <w:highlight w:val="none"/>
                    </w:rPr>
                    <w:fldChar w:fldCharType="begin"/>
                  </w:r>
                  <w:r>
                    <w:rPr>
                      <w:rFonts w:hint="default" w:ascii="Times New Roman" w:hAnsi="Times New Roman" w:cs="Times New Roman"/>
                      <w:color w:val="auto"/>
                      <w:kern w:val="0"/>
                      <w:szCs w:val="21"/>
                      <w:highlight w:val="none"/>
                    </w:rPr>
                    <w:instrText xml:space="preserve"> = 3 \* ROMAN \* MERGEFORMAT </w:instrText>
                  </w:r>
                  <w:r>
                    <w:rPr>
                      <w:rFonts w:hint="default" w:ascii="Times New Roman" w:hAnsi="Times New Roman" w:cs="Times New Roman"/>
                      <w:color w:val="auto"/>
                      <w:kern w:val="0"/>
                      <w:szCs w:val="21"/>
                      <w:highlight w:val="none"/>
                    </w:rPr>
                    <w:fldChar w:fldCharType="separate"/>
                  </w:r>
                  <w:r>
                    <w:rPr>
                      <w:rFonts w:hint="default" w:ascii="Times New Roman" w:hAnsi="Times New Roman" w:cs="Times New Roman"/>
                      <w:color w:val="auto"/>
                      <w:kern w:val="0"/>
                      <w:szCs w:val="21"/>
                      <w:highlight w:val="none"/>
                      <w:lang w:eastAsia="zh-CN"/>
                    </w:rPr>
                    <w:t>Ⅲ</w:t>
                  </w:r>
                  <w:r>
                    <w:rPr>
                      <w:rFonts w:hint="default" w:ascii="Times New Roman" w:hAnsi="Times New Roman" w:cs="Times New Roman"/>
                      <w:color w:val="auto"/>
                      <w:kern w:val="0"/>
                      <w:szCs w:val="21"/>
                      <w:highlight w:val="none"/>
                    </w:rPr>
                    <w:fldChar w:fldCharType="end"/>
                  </w:r>
                  <w:r>
                    <w:rPr>
                      <w:rFonts w:hint="default" w:ascii="Times New Roman" w:hAnsi="Times New Roman" w:cs="Times New Roman"/>
                      <w:color w:val="auto"/>
                      <w:kern w:val="0"/>
                      <w:szCs w:val="21"/>
                      <w:highlight w:val="none"/>
                    </w:rPr>
                    <w:t>类水标准</w:t>
                  </w:r>
                </w:p>
              </w:tc>
            </w:tr>
          </w:tbl>
          <w:p>
            <w:pPr>
              <w:rPr>
                <w:rFonts w:hint="default" w:ascii="Times New Roman" w:hAnsi="Times New Roman" w:cs="Times New Roman"/>
                <w:color w:val="auto"/>
                <w:highlight w:val="none"/>
              </w:rPr>
            </w:pPr>
          </w:p>
          <w:p>
            <w:pPr>
              <w:pStyle w:val="2"/>
              <w:numPr>
                <w:ilvl w:val="1"/>
                <w:numId w:val="9"/>
              </w:numPr>
              <w:tabs>
                <w:tab w:val="left" w:pos="420"/>
              </w:tabs>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（1）项目危险因素</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主要环境风险物质为DMF、DMF废</w:t>
            </w:r>
            <w:r>
              <w:rPr>
                <w:rFonts w:hint="eastAsia" w:cs="Times New Roman"/>
                <w:color w:val="auto"/>
                <w:highlight w:val="none"/>
                <w:lang w:val="en-US" w:eastAsia="zh-CN"/>
              </w:rPr>
              <w:t>液</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机油</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厂区</w:t>
            </w:r>
            <w:r>
              <w:rPr>
                <w:rFonts w:hint="default" w:ascii="Times New Roman" w:hAnsi="Times New Roman" w:cs="Times New Roman"/>
                <w:color w:val="auto"/>
                <w:highlight w:val="none"/>
              </w:rPr>
              <w:t>主要危险单元是罐区、</w:t>
            </w:r>
            <w:r>
              <w:rPr>
                <w:rFonts w:hint="default" w:ascii="Times New Roman" w:hAnsi="Times New Roman" w:cs="Times New Roman"/>
                <w:color w:val="auto"/>
                <w:highlight w:val="none"/>
                <w:lang w:val="en-US" w:eastAsia="zh-CN"/>
              </w:rPr>
              <w:t>生产车间</w:t>
            </w:r>
            <w:r>
              <w:rPr>
                <w:rFonts w:hint="default" w:ascii="Times New Roman" w:hAnsi="Times New Roman" w:cs="Times New Roman"/>
                <w:color w:val="auto"/>
                <w:highlight w:val="none"/>
              </w:rPr>
              <w:t>、危险废物暂存间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仓库、配料间</w:t>
            </w:r>
            <w:r>
              <w:rPr>
                <w:rFonts w:hint="default" w:ascii="Times New Roman" w:hAnsi="Times New Roman" w:cs="Times New Roman"/>
                <w:color w:val="auto"/>
                <w:highlight w:val="none"/>
              </w:rPr>
              <w:t>等，可能产生的环境风险事故为</w:t>
            </w:r>
            <w:r>
              <w:rPr>
                <w:rFonts w:hint="default" w:ascii="Times New Roman" w:hAnsi="Times New Roman" w:cs="Times New Roman"/>
                <w:color w:val="auto"/>
                <w:highlight w:val="none"/>
                <w:lang w:val="en-US" w:eastAsia="zh-CN"/>
              </w:rPr>
              <w:t>危险物质</w:t>
            </w:r>
            <w:r>
              <w:rPr>
                <w:rFonts w:hint="default" w:ascii="Times New Roman" w:hAnsi="Times New Roman" w:cs="Times New Roman"/>
                <w:color w:val="auto"/>
                <w:highlight w:val="none"/>
              </w:rPr>
              <w:t>泄漏引发的中毒、</w:t>
            </w:r>
            <w:r>
              <w:rPr>
                <w:rFonts w:hint="eastAsia" w:cs="宋体"/>
                <w:color w:val="auto"/>
                <w:sz w:val="24"/>
                <w:highlight w:val="none"/>
                <w:lang w:bidi="ar"/>
              </w:rPr>
              <w:t>环保设施出现故障或管道泄漏导致的环境污染事故</w:t>
            </w:r>
            <w:r>
              <w:rPr>
                <w:rFonts w:hint="eastAsia" w:cs="宋体"/>
                <w:color w:val="auto"/>
                <w:sz w:val="24"/>
                <w:highlight w:val="none"/>
                <w:lang w:eastAsia="zh-CN" w:bidi="ar"/>
              </w:rPr>
              <w:t>、</w:t>
            </w:r>
            <w:r>
              <w:rPr>
                <w:rFonts w:hint="default" w:ascii="Times New Roman" w:hAnsi="Times New Roman" w:cs="Times New Roman"/>
                <w:color w:val="auto"/>
                <w:highlight w:val="none"/>
              </w:rPr>
              <w:t>事故废水排放等。</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根据《危险化学品重大危险源辨识》(GB18218-2018)，本项目</w:t>
            </w:r>
            <w:r>
              <w:rPr>
                <w:rFonts w:hint="default" w:ascii="Times New Roman" w:hAnsi="Times New Roman" w:cs="Times New Roman"/>
                <w:color w:val="auto"/>
                <w:sz w:val="24"/>
                <w:highlight w:val="none"/>
                <w:lang w:val="en-US" w:eastAsia="zh-CN"/>
              </w:rPr>
              <w:t>DMF、DMF废液</w:t>
            </w:r>
            <w:r>
              <w:rPr>
                <w:rFonts w:hint="default" w:ascii="Times New Roman" w:hAnsi="Times New Roman" w:cs="Times New Roman"/>
                <w:color w:val="auto"/>
                <w:sz w:val="24"/>
                <w:highlight w:val="none"/>
              </w:rPr>
              <w:t>最大储存量超过其规定的临界量，属于重大危险源，根据“《建设项目环境影响报告表编制技术指南》（污染影响类）（试行）：有毒有害和易燃易爆危险物质存储量超过临界量的建设项目，需编制环境风险专项评价”，因此，本评价需设置环境风险专项评价。</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环境风险防范措施以及应急预案</w:t>
            </w:r>
          </w:p>
          <w:p>
            <w:pPr>
              <w:pStyle w:val="5"/>
              <w:ind w:firstLine="480"/>
              <w:rPr>
                <w:rFonts w:hint="default" w:ascii="Times New Roman" w:hAnsi="Times New Roman" w:cs="Times New Roman"/>
                <w:color w:val="auto"/>
                <w:highlight w:val="none"/>
              </w:rPr>
            </w:pPr>
            <w:r>
              <w:rPr>
                <w:rFonts w:hint="eastAsia"/>
                <w:color w:val="auto"/>
                <w:highlight w:val="none"/>
                <w:lang w:val="en-US" w:eastAsia="zh-CN"/>
              </w:rPr>
              <w:t>规范建设危险废物暂存间，采取有效防渗措施，储罐</w:t>
            </w:r>
            <w:r>
              <w:rPr>
                <w:rFonts w:hint="eastAsia"/>
                <w:color w:val="auto"/>
                <w:highlight w:val="none"/>
              </w:rPr>
              <w:t>设置围堰</w:t>
            </w:r>
            <w:r>
              <w:rPr>
                <w:rFonts w:hint="eastAsia"/>
                <w:color w:val="auto"/>
                <w:highlight w:val="none"/>
                <w:lang w:eastAsia="zh-CN"/>
              </w:rPr>
              <w:t>；</w:t>
            </w:r>
            <w:r>
              <w:rPr>
                <w:rFonts w:hint="default" w:ascii="Times New Roman" w:hAnsi="Times New Roman" w:cs="Times New Roman"/>
                <w:color w:val="auto"/>
                <w:highlight w:val="none"/>
                <w:lang w:val="en-US" w:eastAsia="zh-CN"/>
              </w:rPr>
              <w:t>危险单元应</w:t>
            </w:r>
            <w:r>
              <w:rPr>
                <w:rFonts w:hint="default" w:ascii="Times New Roman" w:hAnsi="Times New Roman" w:cs="Times New Roman"/>
                <w:color w:val="auto"/>
                <w:highlight w:val="none"/>
              </w:rPr>
              <w:t>配备灭火器等消防措施，及时灭火，减缓火灾影响；确保在事故状态下能顺利收集消防废水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事故废水</w:t>
            </w:r>
            <w:r>
              <w:rPr>
                <w:rFonts w:hint="eastAsia" w:cs="Times New Roman"/>
                <w:color w:val="auto"/>
                <w:highlight w:val="none"/>
                <w:lang w:val="en-US" w:eastAsia="zh-CN"/>
              </w:rPr>
              <w:t>依托厂区已建200m</w:t>
            </w:r>
            <w:r>
              <w:rPr>
                <w:rFonts w:hint="eastAsia" w:cs="Times New Roman"/>
                <w:color w:val="auto"/>
                <w:highlight w:val="none"/>
                <w:vertAlign w:val="superscript"/>
                <w:lang w:val="en-US" w:eastAsia="zh-CN"/>
              </w:rPr>
              <w:t>3</w:t>
            </w:r>
            <w:r>
              <w:rPr>
                <w:rFonts w:hint="eastAsia" w:cs="Times New Roman"/>
                <w:color w:val="auto"/>
                <w:highlight w:val="none"/>
                <w:vertAlign w:val="baseline"/>
                <w:lang w:val="en-US" w:eastAsia="zh-CN"/>
              </w:rPr>
              <w:t>事故应急池，</w:t>
            </w:r>
            <w:r>
              <w:rPr>
                <w:rFonts w:hint="default" w:ascii="Times New Roman" w:hAnsi="Times New Roman" w:cs="Times New Roman"/>
                <w:color w:val="auto"/>
                <w:highlight w:val="none"/>
                <w:lang w:val="en-US" w:eastAsia="zh-CN"/>
              </w:rPr>
              <w:t>采取三级防控措施</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企业应</w:t>
            </w:r>
            <w:r>
              <w:rPr>
                <w:rFonts w:hint="default" w:ascii="Times New Roman" w:hAnsi="Times New Roman" w:cs="Times New Roman"/>
                <w:color w:val="auto"/>
                <w:highlight w:val="none"/>
              </w:rPr>
              <w:t>按相关要求编制突发环境事件应急预案</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并加强员工安全及环境风险应急培训</w:t>
            </w:r>
            <w:r>
              <w:rPr>
                <w:rFonts w:hint="default" w:ascii="Times New Roman" w:hAnsi="Times New Roman" w:cs="Times New Roman"/>
                <w:color w:val="auto"/>
                <w:highlight w:val="none"/>
              </w:rPr>
              <w:t>。</w:t>
            </w:r>
          </w:p>
          <w:p>
            <w:pPr>
              <w:pStyle w:val="5"/>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3</w:t>
            </w:r>
            <w:r>
              <w:rPr>
                <w:rFonts w:hint="default" w:ascii="Times New Roman" w:hAnsi="Times New Roman" w:cs="Times New Roman"/>
                <w:color w:val="auto"/>
                <w:highlight w:val="none"/>
                <w:lang w:eastAsia="zh-CN"/>
              </w:rPr>
              <w:t>）环境风险评价结论</w:t>
            </w:r>
          </w:p>
          <w:p>
            <w:pPr>
              <w:pStyle w:val="5"/>
              <w:ind w:firstLine="480"/>
              <w:rPr>
                <w:color w:val="auto"/>
                <w:highlight w:val="none"/>
              </w:rPr>
            </w:pPr>
            <w:r>
              <w:rPr>
                <w:rFonts w:hint="eastAsia"/>
                <w:color w:val="auto"/>
                <w:highlight w:val="none"/>
              </w:rPr>
              <w:t>①本项目1</w:t>
            </w:r>
            <w:r>
              <w:rPr>
                <w:rFonts w:hint="eastAsia"/>
                <w:color w:val="auto"/>
                <w:highlight w:val="none"/>
                <w:lang w:val="en-US" w:eastAsia="zh-CN"/>
              </w:rPr>
              <w:t>0</w:t>
            </w:r>
            <w:r>
              <w:rPr>
                <w:rFonts w:hint="eastAsia"/>
                <w:color w:val="auto"/>
                <w:highlight w:val="none"/>
              </w:rPr>
              <w:t>≤Q＜1</w:t>
            </w:r>
            <w:r>
              <w:rPr>
                <w:rFonts w:hint="eastAsia"/>
                <w:color w:val="auto"/>
                <w:highlight w:val="none"/>
                <w:lang w:val="en-US" w:eastAsia="zh-CN"/>
              </w:rPr>
              <w:t>0</w:t>
            </w:r>
            <w:r>
              <w:rPr>
                <w:rFonts w:hint="eastAsia"/>
                <w:color w:val="auto"/>
                <w:highlight w:val="none"/>
              </w:rPr>
              <w:t>0，经判定本项目环境风险评价等级为三级。</w:t>
            </w:r>
          </w:p>
          <w:p>
            <w:pPr>
              <w:pStyle w:val="5"/>
              <w:ind w:firstLine="480"/>
              <w:rPr>
                <w:color w:val="auto"/>
                <w:highlight w:val="none"/>
              </w:rPr>
            </w:pPr>
            <w:r>
              <w:rPr>
                <w:rFonts w:hint="eastAsia"/>
                <w:color w:val="auto"/>
                <w:highlight w:val="none"/>
              </w:rPr>
              <w:t>②最大风险事故是原辅料的</w:t>
            </w:r>
            <w:r>
              <w:rPr>
                <w:rFonts w:hint="eastAsia"/>
                <w:color w:val="auto"/>
                <w:highlight w:val="none"/>
                <w:lang w:eastAsia="zh-CN"/>
              </w:rPr>
              <w:t>泄漏</w:t>
            </w:r>
            <w:r>
              <w:rPr>
                <w:rFonts w:hint="eastAsia"/>
                <w:color w:val="auto"/>
                <w:highlight w:val="none"/>
              </w:rPr>
              <w:t>，通过采取有效防控措施，风险可控。</w:t>
            </w:r>
          </w:p>
          <w:p>
            <w:pPr>
              <w:pStyle w:val="5"/>
              <w:ind w:firstLine="480"/>
              <w:rPr>
                <w:rFonts w:hint="default" w:ascii="Times New Roman" w:hAnsi="Times New Roman" w:cs="Times New Roman"/>
                <w:color w:val="auto"/>
                <w:highlight w:val="none"/>
                <w:lang w:val="en-US" w:eastAsia="zh-CN"/>
              </w:rPr>
            </w:pPr>
            <w:r>
              <w:rPr>
                <w:rFonts w:hint="eastAsia"/>
                <w:color w:val="auto"/>
                <w:highlight w:val="none"/>
                <w:lang w:val="en-US" w:eastAsia="zh-CN"/>
              </w:rPr>
              <w:t>③建设单位应根据本工程建设内容，按照</w:t>
            </w:r>
            <w:r>
              <w:rPr>
                <w:rFonts w:hint="default" w:ascii="Times New Roman" w:hAnsi="Times New Roman" w:eastAsia="宋体" w:cs="Times New Roman"/>
                <w:color w:val="auto"/>
                <w:sz w:val="24"/>
                <w:highlight w:val="none"/>
                <w:lang w:val="en-US" w:eastAsia="zh-CN"/>
              </w:rPr>
              <w:t>《企业事业单位突发环境应急预案备案管理办法（试行）》（环发[2015]4号）</w:t>
            </w:r>
            <w:r>
              <w:rPr>
                <w:rFonts w:hint="eastAsia" w:ascii="Times New Roman" w:hAnsi="Times New Roman" w:cs="Times New Roman"/>
                <w:color w:val="auto"/>
                <w:sz w:val="24"/>
                <w:highlight w:val="none"/>
                <w:lang w:val="en-US" w:eastAsia="zh-CN"/>
              </w:rPr>
              <w:t>等规范文件</w:t>
            </w:r>
            <w:r>
              <w:rPr>
                <w:rFonts w:hint="eastAsia"/>
                <w:color w:val="auto"/>
                <w:highlight w:val="none"/>
                <w:lang w:val="en-US" w:eastAsia="zh-CN"/>
              </w:rPr>
              <w:t>修编突发环境事件应急预案，报福鼎市生态环境局备案，并加强员工安全及环境风险应急培训。</w:t>
            </w:r>
          </w:p>
          <w:p>
            <w:pPr>
              <w:pStyle w:val="5"/>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sz w:val="24"/>
                <w:highlight w:val="none"/>
                <w:lang w:val="en-US" w:eastAsia="zh-CN"/>
              </w:rPr>
              <w:t>在建立应急联动，及时与政府相关部门联系，协助相应的应急处置工作；加强员工安全及环境风险应急培训，严格落实本评价提出的各项环境风险防控措施的情况下，发生风险事故概率较小，项目环境风险可防可控。</w:t>
            </w:r>
          </w:p>
          <w:p>
            <w:pPr>
              <w:pStyle w:val="5"/>
              <w:ind w:firstLine="480"/>
              <w:rPr>
                <w:rFonts w:hint="default" w:ascii="Times New Roman" w:hAnsi="Times New Roman" w:cs="Times New Roman"/>
                <w:color w:val="auto"/>
                <w:highlight w:val="none"/>
              </w:rPr>
            </w:pPr>
          </w:p>
          <w:p>
            <w:pPr>
              <w:spacing w:line="360" w:lineRule="auto"/>
              <w:ind w:firstLine="480" w:firstLineChars="200"/>
              <w:rPr>
                <w:rFonts w:hint="default" w:ascii="Times New Roman" w:hAnsi="Times New Roman" w:cs="Times New Roman"/>
                <w:color w:val="auto"/>
                <w:sz w:val="24"/>
                <w:highlight w:val="none"/>
              </w:rPr>
            </w:pPr>
          </w:p>
          <w:p>
            <w:pPr>
              <w:pStyle w:val="5"/>
              <w:ind w:firstLine="480"/>
              <w:rPr>
                <w:rFonts w:hint="default" w:ascii="Times New Roman" w:hAnsi="Times New Roman" w:cs="Times New Roman"/>
                <w:color w:val="auto"/>
                <w:highlight w:val="none"/>
              </w:rPr>
            </w:pPr>
          </w:p>
        </w:tc>
      </w:tr>
    </w:tbl>
    <w:p>
      <w:pPr>
        <w:adjustRightInd w:val="0"/>
        <w:snapToGrid w:val="0"/>
        <w:spacing w:line="360" w:lineRule="auto"/>
        <w:rPr>
          <w:rFonts w:hint="default" w:ascii="Times New Roman" w:hAnsi="Times New Roman" w:cs="Times New Roman"/>
          <w:b/>
          <w:color w:val="auto"/>
          <w:kern w:val="0"/>
          <w:sz w:val="28"/>
          <w:szCs w:val="28"/>
          <w:highlight w:val="none"/>
        </w:rPr>
        <w:sectPr>
          <w:pgSz w:w="11905" w:h="16838"/>
          <w:pgMar w:top="1417" w:right="1417" w:bottom="1417" w:left="1417" w:header="851" w:footer="1077" w:gutter="0"/>
          <w:pgBorders>
            <w:top w:val="none" w:sz="0" w:space="0"/>
            <w:left w:val="none" w:sz="0" w:space="0"/>
            <w:bottom w:val="none" w:sz="0" w:space="0"/>
            <w:right w:val="none" w:sz="0" w:space="0"/>
          </w:pgBorders>
          <w:pgNumType w:fmt="numberInDash"/>
          <w:cols w:space="0" w:num="1"/>
          <w:docGrid w:linePitch="312" w:charSpace="0"/>
        </w:sectPr>
      </w:pPr>
    </w:p>
    <w:p>
      <w:pPr>
        <w:pStyle w:val="3"/>
        <w:numPr>
          <w:ilvl w:val="0"/>
          <w:numId w:val="9"/>
        </w:numPr>
        <w:rPr>
          <w:rFonts w:hint="default" w:ascii="Times New Roman" w:hAnsi="Times New Roman" w:cs="Times New Roman"/>
          <w:color w:val="auto"/>
          <w:highlight w:val="none"/>
        </w:rPr>
      </w:pPr>
      <w:bookmarkStart w:id="24" w:name="_Hlk54167917"/>
      <w:r>
        <w:rPr>
          <w:rFonts w:hint="default" w:ascii="Times New Roman" w:hAnsi="Times New Roman" w:cs="Times New Roman"/>
          <w:color w:val="auto"/>
          <w:highlight w:val="none"/>
        </w:rPr>
        <w:t>环境保护措施监督检查清单</w:t>
      </w:r>
      <w:bookmarkEnd w:id="24"/>
    </w:p>
    <w:tbl>
      <w:tblPr>
        <w:tblStyle w:val="11"/>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6"/>
        <w:gridCol w:w="1486"/>
        <w:gridCol w:w="1305"/>
        <w:gridCol w:w="1920"/>
        <w:gridCol w:w="31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6" w:type="dxa"/>
            <w:tcBorders>
              <w:tl2br w:val="single" w:color="auto" w:sz="4" w:space="0"/>
            </w:tcBorders>
          </w:tcPr>
          <w:p>
            <w:pPr>
              <w:adjustRightInd w:val="0"/>
              <w:snapToGrid w:val="0"/>
              <w:ind w:firstLine="210" w:firstLineChars="1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内容</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要素</w:t>
            </w:r>
          </w:p>
        </w:tc>
        <w:tc>
          <w:tcPr>
            <w:tcW w:w="1486"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排放口</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编号、</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/污染源</w:t>
            </w:r>
          </w:p>
        </w:tc>
        <w:tc>
          <w:tcPr>
            <w:tcW w:w="1305"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污染物项目</w:t>
            </w:r>
          </w:p>
        </w:tc>
        <w:tc>
          <w:tcPr>
            <w:tcW w:w="1920"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环境保护措施</w:t>
            </w:r>
          </w:p>
        </w:tc>
        <w:tc>
          <w:tcPr>
            <w:tcW w:w="3163"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6" w:type="dxa"/>
            <w:vMerge w:val="restart"/>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大气环境</w:t>
            </w:r>
          </w:p>
        </w:tc>
        <w:tc>
          <w:tcPr>
            <w:tcW w:w="1486" w:type="dxa"/>
            <w:vAlign w:val="center"/>
          </w:tcPr>
          <w:p>
            <w:pPr>
              <w:pStyle w:val="16"/>
              <w:keepNext w:val="0"/>
              <w:keepLines w:val="0"/>
              <w:pageBreakBefore w:val="0"/>
              <w:kinsoku/>
              <w:wordWrap/>
              <w:overflowPunct/>
              <w:topLinePunct w:val="0"/>
              <w:autoSpaceDE/>
              <w:autoSpaceDN/>
              <w:bidi w:val="0"/>
              <w:spacing w:line="240" w:lineRule="auto"/>
              <w:ind w:left="0" w:leftChars="0"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2#喷淋塔</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DA002</w:t>
            </w:r>
            <w:r>
              <w:rPr>
                <w:rFonts w:hint="default" w:ascii="Times New Roman" w:hAnsi="Times New Roman" w:cs="Times New Roman"/>
                <w:color w:val="auto"/>
                <w:highlight w:val="none"/>
                <w:lang w:eastAsia="zh-CN"/>
              </w:rPr>
              <w:t>）</w:t>
            </w:r>
          </w:p>
        </w:tc>
        <w:tc>
          <w:tcPr>
            <w:tcW w:w="130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DMF、非甲烷总烃、臭气浓度</w:t>
            </w:r>
          </w:p>
        </w:tc>
        <w:tc>
          <w:tcPr>
            <w:tcW w:w="1920" w:type="dxa"/>
            <w:vAlign w:val="center"/>
          </w:tcPr>
          <w:p>
            <w:pPr>
              <w:pStyle w:val="16"/>
              <w:keepNext w:val="0"/>
              <w:keepLines w:val="0"/>
              <w:pageBreakBefore w:val="0"/>
              <w:kinsoku/>
              <w:wordWrap/>
              <w:overflowPunct/>
              <w:topLinePunct w:val="0"/>
              <w:autoSpaceDE/>
              <w:autoSpaceDN/>
              <w:bidi w:val="0"/>
              <w:spacing w:line="240" w:lineRule="auto"/>
              <w:ind w:left="0" w:leftChars="0"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管道密闭收集</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三段填料喷淋塔</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m排气筒</w:t>
            </w:r>
          </w:p>
        </w:tc>
        <w:tc>
          <w:tcPr>
            <w:tcW w:w="3163" w:type="dxa"/>
            <w:vMerge w:val="restart"/>
            <w:vAlign w:val="center"/>
          </w:tcPr>
          <w:p>
            <w:pPr>
              <w:pStyle w:val="16"/>
              <w:keepNext w:val="0"/>
              <w:keepLines w:val="0"/>
              <w:pageBreakBefore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DMF、非甲烷总烃执行</w:t>
            </w:r>
            <w:r>
              <w:rPr>
                <w:rFonts w:hint="default" w:ascii="Times New Roman" w:hAnsi="Times New Roman" w:cs="Times New Roman"/>
                <w:color w:val="auto"/>
                <w:highlight w:val="none"/>
              </w:rPr>
              <w:t>《工业企业挥发性有机物排放标准》(DB35/1782-2018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中合成革与人造革制造行业标准</w:t>
            </w:r>
            <w:r>
              <w:rPr>
                <w:rFonts w:hint="default" w:ascii="Times New Roman" w:hAnsi="Times New Roman" w:cs="Times New Roman"/>
                <w:color w:val="auto"/>
                <w:highlight w:val="none"/>
                <w:lang w:eastAsia="zh-CN"/>
              </w:rPr>
              <w:t>；</w:t>
            </w:r>
          </w:p>
          <w:p>
            <w:pPr>
              <w:pStyle w:val="16"/>
              <w:keepNext w:val="0"/>
              <w:keepLines w:val="0"/>
              <w:pageBreakBefore w:val="0"/>
              <w:kinsoku/>
              <w:wordWrap/>
              <w:overflowPunct/>
              <w:topLinePunct w:val="0"/>
              <w:autoSpaceDE/>
              <w:autoSpaceDN/>
              <w:bidi w:val="0"/>
              <w:spacing w:line="240" w:lineRule="auto"/>
              <w:ind w:left="0" w:leftChars="0"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臭气浓度执行</w:t>
            </w:r>
            <w:r>
              <w:rPr>
                <w:rFonts w:hint="default" w:ascii="Times New Roman" w:hAnsi="Times New Roman" w:cs="Times New Roman"/>
                <w:bCs/>
                <w:color w:val="auto"/>
                <w:highlight w:val="none"/>
              </w:rPr>
              <w:t>《恶臭污染物排放标准》(GB14554-93）中表1、表2限值要求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6" w:type="dxa"/>
            <w:vMerge w:val="continue"/>
            <w:vAlign w:val="center"/>
          </w:tcPr>
          <w:p>
            <w:pPr>
              <w:adjustRightInd w:val="0"/>
              <w:snapToGrid w:val="0"/>
              <w:jc w:val="center"/>
              <w:rPr>
                <w:rFonts w:hint="default" w:ascii="Times New Roman" w:hAnsi="Times New Roman" w:cs="Times New Roman"/>
                <w:color w:val="auto"/>
                <w:szCs w:val="21"/>
                <w:highlight w:val="none"/>
              </w:rPr>
            </w:pPr>
          </w:p>
        </w:tc>
        <w:tc>
          <w:tcPr>
            <w:tcW w:w="1486" w:type="dxa"/>
            <w:vAlign w:val="center"/>
          </w:tcPr>
          <w:p>
            <w:pPr>
              <w:pStyle w:val="16"/>
              <w:keepNext w:val="0"/>
              <w:keepLines w:val="0"/>
              <w:pageBreakBefore w:val="0"/>
              <w:kinsoku/>
              <w:wordWrap/>
              <w:overflowPunct/>
              <w:topLinePunct w:val="0"/>
              <w:autoSpaceDE/>
              <w:autoSpaceDN/>
              <w:bidi w:val="0"/>
              <w:spacing w:line="240" w:lineRule="auto"/>
              <w:ind w:left="0" w:leftChars="0"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3#喷淋塔</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DA00</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p>
        </w:tc>
        <w:tc>
          <w:tcPr>
            <w:tcW w:w="130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DMF、非甲烷总烃、臭气浓度</w:t>
            </w:r>
          </w:p>
        </w:tc>
        <w:tc>
          <w:tcPr>
            <w:tcW w:w="1920" w:type="dxa"/>
            <w:vAlign w:val="center"/>
          </w:tcPr>
          <w:p>
            <w:pPr>
              <w:pStyle w:val="16"/>
              <w:keepNext w:val="0"/>
              <w:keepLines w:val="0"/>
              <w:pageBreakBefore w:val="0"/>
              <w:kinsoku/>
              <w:wordWrap/>
              <w:overflowPunct/>
              <w:topLinePunct w:val="0"/>
              <w:autoSpaceDE/>
              <w:autoSpaceDN/>
              <w:bidi w:val="0"/>
              <w:spacing w:line="240" w:lineRule="auto"/>
              <w:ind w:left="0" w:leftChars="0"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管道密闭收集</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三段填料喷淋塔</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m排气筒</w:t>
            </w:r>
          </w:p>
        </w:tc>
        <w:tc>
          <w:tcPr>
            <w:tcW w:w="3163" w:type="dxa"/>
            <w:vMerge w:val="continue"/>
            <w:vAlign w:val="center"/>
          </w:tcPr>
          <w:p>
            <w:pPr>
              <w:pStyle w:val="16"/>
              <w:keepNext w:val="0"/>
              <w:keepLines w:val="0"/>
              <w:pageBreakBefore w:val="0"/>
              <w:kinsoku/>
              <w:wordWrap/>
              <w:overflowPunct/>
              <w:topLinePunct w:val="0"/>
              <w:autoSpaceDE/>
              <w:autoSpaceDN/>
              <w:bidi w:val="0"/>
              <w:spacing w:line="240" w:lineRule="auto"/>
              <w:ind w:left="0" w:leftChars="0" w:firstLine="0" w:firstLineChars="0"/>
              <w:textAlignment w:val="auto"/>
              <w:rPr>
                <w:rFonts w:hint="default" w:ascii="Times New Roman" w:hAnsi="Times New Roman" w:cs="Times New Roman"/>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6" w:type="dxa"/>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地表水环境</w:t>
            </w:r>
          </w:p>
        </w:tc>
        <w:tc>
          <w:tcPr>
            <w:tcW w:w="1486"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w:t>
            </w:r>
          </w:p>
        </w:tc>
        <w:tc>
          <w:tcPr>
            <w:tcW w:w="130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w:t>
            </w:r>
          </w:p>
        </w:tc>
        <w:tc>
          <w:tcPr>
            <w:tcW w:w="1920"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w:t>
            </w:r>
          </w:p>
        </w:tc>
        <w:tc>
          <w:tcPr>
            <w:tcW w:w="3163" w:type="dxa"/>
            <w:vAlign w:val="center"/>
          </w:tcPr>
          <w:p>
            <w:pPr>
              <w:pStyle w:val="16"/>
              <w:keepNext w:val="0"/>
              <w:keepLines w:val="0"/>
              <w:pageBreakBefore w:val="0"/>
              <w:kinsoku/>
              <w:wordWrap/>
              <w:overflowPunct/>
              <w:topLinePunct w:val="0"/>
              <w:autoSpaceDE/>
              <w:autoSpaceDN/>
              <w:bidi w:val="0"/>
              <w:spacing w:line="240" w:lineRule="auto"/>
              <w:ind w:left="0" w:leftChars="0"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6"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声环境</w:t>
            </w:r>
          </w:p>
        </w:tc>
        <w:tc>
          <w:tcPr>
            <w:tcW w:w="1486" w:type="dxa"/>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厂界噪声</w:t>
            </w:r>
          </w:p>
        </w:tc>
        <w:tc>
          <w:tcPr>
            <w:tcW w:w="1305" w:type="dxa"/>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连续等效A声级</w:t>
            </w:r>
          </w:p>
        </w:tc>
        <w:tc>
          <w:tcPr>
            <w:tcW w:w="1920" w:type="dxa"/>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设备采取隔声降噪减振和消声等措施</w:t>
            </w:r>
          </w:p>
        </w:tc>
        <w:tc>
          <w:tcPr>
            <w:tcW w:w="3163" w:type="dxa"/>
            <w:vAlign w:val="center"/>
          </w:tcPr>
          <w:p>
            <w:pPr>
              <w:pStyle w:val="16"/>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《工业企业厂界环境噪声排放标准》(GB12348-2008)3类标准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6"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电磁</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辐射</w:t>
            </w:r>
          </w:p>
        </w:tc>
        <w:tc>
          <w:tcPr>
            <w:tcW w:w="1486"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05"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920"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3163"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6"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固体</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废物</w:t>
            </w:r>
          </w:p>
        </w:tc>
        <w:tc>
          <w:tcPr>
            <w:tcW w:w="7874" w:type="dxa"/>
            <w:gridSpan w:val="4"/>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highlight w:val="none"/>
                <w:lang w:val="en-US" w:eastAsia="zh-CN"/>
              </w:rPr>
              <w:t>废机油、精馏残渣收集至已建危废间暂存后</w:t>
            </w:r>
            <w:r>
              <w:rPr>
                <w:rFonts w:hint="default" w:ascii="Times New Roman" w:hAnsi="Times New Roman" w:cs="Times New Roman"/>
                <w:color w:val="auto"/>
                <w:sz w:val="21"/>
                <w:szCs w:val="21"/>
                <w:highlight w:val="none"/>
              </w:rPr>
              <w:t>委托</w:t>
            </w:r>
            <w:r>
              <w:rPr>
                <w:rFonts w:hint="default" w:ascii="Times New Roman" w:hAnsi="Times New Roman" w:cs="Times New Roman"/>
                <w:color w:val="auto"/>
                <w:sz w:val="21"/>
                <w:szCs w:val="21"/>
                <w:highlight w:val="none"/>
                <w:lang w:val="en-US" w:eastAsia="zh-CN"/>
              </w:rPr>
              <w:t>有资质的单位</w:t>
            </w:r>
            <w:r>
              <w:rPr>
                <w:rFonts w:hint="default" w:ascii="Times New Roman" w:hAnsi="Times New Roman" w:cs="Times New Roman"/>
                <w:color w:val="auto"/>
                <w:sz w:val="21"/>
                <w:szCs w:val="21"/>
                <w:highlight w:val="none"/>
              </w:rPr>
              <w:t>处置。</w:t>
            </w:r>
            <w:r>
              <w:rPr>
                <w:rFonts w:hint="default" w:ascii="Times New Roman" w:hAnsi="Times New Roman" w:cs="Times New Roman"/>
                <w:color w:val="auto"/>
                <w:sz w:val="21"/>
                <w:szCs w:val="21"/>
                <w:highlight w:val="none"/>
                <w:lang w:eastAsia="zh-CN"/>
              </w:rPr>
              <w:t>危险废物分类存放，</w:t>
            </w:r>
            <w:r>
              <w:rPr>
                <w:rFonts w:hint="default" w:ascii="Times New Roman" w:hAnsi="Times New Roman" w:cs="Times New Roman"/>
                <w:color w:val="auto"/>
                <w:szCs w:val="21"/>
                <w:highlight w:val="none"/>
                <w:lang w:bidi="ar"/>
              </w:rPr>
              <w:t>危险废物收集、暂存、装运等需满足《危险废物贮存污染控制标准》(GB 18597-2001</w:t>
            </w:r>
            <w:r>
              <w:rPr>
                <w:rFonts w:hint="default" w:ascii="Times New Roman" w:hAnsi="Times New Roman" w:cs="Times New Roman"/>
                <w:color w:val="auto"/>
                <w:szCs w:val="21"/>
                <w:highlight w:val="none"/>
                <w:lang w:eastAsia="zh-CN" w:bidi="ar"/>
              </w:rPr>
              <w:t>）</w:t>
            </w:r>
            <w:r>
              <w:rPr>
                <w:rFonts w:hint="default" w:ascii="Times New Roman" w:hAnsi="Times New Roman" w:cs="Times New Roman"/>
                <w:color w:val="auto"/>
                <w:szCs w:val="21"/>
                <w:highlight w:val="none"/>
                <w:lang w:bidi="ar"/>
              </w:rPr>
              <w:t>及2013年修改单要求。危废转移应严格按《危险废物转移联单管理办法》要求执行</w:t>
            </w:r>
            <w:r>
              <w:rPr>
                <w:rFonts w:hint="default" w:ascii="Times New Roman" w:hAnsi="Times New Roman" w:cs="Times New Roman"/>
                <w:color w:val="auto"/>
                <w:szCs w:val="21"/>
                <w:highlight w:val="none"/>
                <w:lang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6"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土壤及地下水污染防治措施</w:t>
            </w:r>
          </w:p>
        </w:tc>
        <w:tc>
          <w:tcPr>
            <w:tcW w:w="7874" w:type="dxa"/>
            <w:gridSpan w:val="4"/>
            <w:vAlign w:val="center"/>
          </w:tcPr>
          <w:p>
            <w:pPr>
              <w:pStyle w:val="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按照“源头控制、分区防治、污染监控、应急响应”相结合的原则全阶段进行控制。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6"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生态保护措施</w:t>
            </w:r>
          </w:p>
        </w:tc>
        <w:tc>
          <w:tcPr>
            <w:tcW w:w="7874" w:type="dxa"/>
            <w:gridSpan w:val="4"/>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6" w:type="dxa"/>
            <w:vAlign w:val="center"/>
          </w:tcPr>
          <w:p>
            <w:pPr>
              <w:adjustRightInd w:val="0"/>
              <w:snapToGrid w:val="0"/>
              <w:jc w:val="center"/>
              <w:rPr>
                <w:rFonts w:hint="default" w:ascii="Times New Roman" w:hAnsi="Times New Roman" w:cs="Times New Roman"/>
                <w:color w:val="auto"/>
                <w:spacing w:val="-8"/>
                <w:szCs w:val="21"/>
                <w:highlight w:val="none"/>
              </w:rPr>
            </w:pPr>
            <w:r>
              <w:rPr>
                <w:rFonts w:hint="default" w:ascii="Times New Roman" w:hAnsi="Times New Roman" w:cs="Times New Roman"/>
                <w:color w:val="auto"/>
                <w:spacing w:val="-8"/>
                <w:szCs w:val="21"/>
                <w:highlight w:val="none"/>
              </w:rPr>
              <w:t>环境风险防范措施</w:t>
            </w:r>
          </w:p>
        </w:tc>
        <w:tc>
          <w:tcPr>
            <w:tcW w:w="7874" w:type="dxa"/>
            <w:gridSpan w:val="4"/>
            <w:vAlign w:val="center"/>
          </w:tcPr>
          <w:p>
            <w:pPr>
              <w:pStyle w:val="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highlight w:val="none"/>
                <w:lang w:val="en-GB"/>
              </w:rPr>
            </w:pPr>
            <w:r>
              <w:rPr>
                <w:rFonts w:hint="default" w:ascii="Times New Roman" w:hAnsi="Times New Roman" w:cs="Times New Roman"/>
                <w:color w:val="auto"/>
                <w:sz w:val="21"/>
                <w:szCs w:val="21"/>
                <w:highlight w:val="none"/>
                <w:lang w:val="en-US" w:eastAsia="zh-CN"/>
              </w:rPr>
              <w:t>①</w:t>
            </w:r>
            <w:r>
              <w:rPr>
                <w:rFonts w:hint="default" w:ascii="Times New Roman" w:hAnsi="Times New Roman" w:cs="Times New Roman"/>
                <w:color w:val="auto"/>
                <w:sz w:val="21"/>
                <w:szCs w:val="21"/>
                <w:highlight w:val="none"/>
                <w:lang w:val="en-GB"/>
              </w:rPr>
              <w:t>为防止</w:t>
            </w:r>
            <w:r>
              <w:rPr>
                <w:rFonts w:hint="default" w:ascii="Times New Roman" w:hAnsi="Times New Roman" w:cs="Times New Roman"/>
                <w:color w:val="auto"/>
                <w:sz w:val="21"/>
                <w:szCs w:val="21"/>
                <w:highlight w:val="none"/>
                <w:lang w:val="en-US" w:eastAsia="zh-CN"/>
              </w:rPr>
              <w:t>物质</w:t>
            </w:r>
            <w:r>
              <w:rPr>
                <w:rFonts w:hint="default" w:ascii="Times New Roman" w:hAnsi="Times New Roman" w:cs="Times New Roman"/>
                <w:color w:val="auto"/>
                <w:sz w:val="21"/>
                <w:szCs w:val="21"/>
                <w:highlight w:val="none"/>
                <w:lang w:val="en-GB"/>
              </w:rPr>
              <w:t>泄漏事故发生时</w:t>
            </w:r>
            <w:r>
              <w:rPr>
                <w:rFonts w:hint="default" w:ascii="Times New Roman" w:hAnsi="Times New Roman" w:cs="Times New Roman"/>
                <w:color w:val="auto"/>
                <w:sz w:val="21"/>
                <w:szCs w:val="21"/>
                <w:highlight w:val="none"/>
                <w:lang w:val="en-US" w:eastAsia="zh-CN"/>
              </w:rPr>
              <w:t>有机物挥发</w:t>
            </w:r>
            <w:r>
              <w:rPr>
                <w:rFonts w:hint="default" w:ascii="Times New Roman" w:hAnsi="Times New Roman" w:cs="Times New Roman"/>
                <w:color w:val="auto"/>
                <w:sz w:val="21"/>
                <w:szCs w:val="21"/>
                <w:highlight w:val="none"/>
                <w:lang w:val="en-GB"/>
              </w:rPr>
              <w:t>造成有毒有害气体扩散的影响，</w:t>
            </w:r>
            <w:r>
              <w:rPr>
                <w:rFonts w:hint="default" w:ascii="Times New Roman" w:hAnsi="Times New Roman" w:cs="Times New Roman"/>
                <w:color w:val="auto"/>
                <w:sz w:val="21"/>
                <w:szCs w:val="21"/>
                <w:highlight w:val="none"/>
                <w:lang w:val="en-US" w:eastAsia="zh-CN"/>
              </w:rPr>
              <w:t>设置专人定期对储罐、围堰、运输管道进行检查，及时</w:t>
            </w:r>
            <w:r>
              <w:rPr>
                <w:rFonts w:hint="default" w:ascii="Times New Roman" w:hAnsi="Times New Roman" w:cs="Times New Roman"/>
                <w:color w:val="auto"/>
                <w:sz w:val="21"/>
                <w:szCs w:val="21"/>
                <w:highlight w:val="none"/>
                <w:lang w:val="en-GB"/>
              </w:rPr>
              <w:t>破损和泄漏处。</w:t>
            </w:r>
          </w:p>
          <w:p>
            <w:pPr>
              <w:pStyle w:val="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highlight w:val="none"/>
                <w:lang w:val="en-GB"/>
              </w:rPr>
            </w:pPr>
            <w:r>
              <w:rPr>
                <w:rFonts w:hint="default" w:ascii="Times New Roman" w:hAnsi="Times New Roman" w:cs="Times New Roman"/>
                <w:color w:val="auto"/>
                <w:sz w:val="21"/>
                <w:szCs w:val="21"/>
                <w:highlight w:val="none"/>
                <w:lang w:val="en-US" w:eastAsia="zh-CN"/>
              </w:rPr>
              <w:t>②储罐区</w:t>
            </w:r>
            <w:r>
              <w:rPr>
                <w:rFonts w:hint="default" w:ascii="Times New Roman" w:hAnsi="Times New Roman" w:cs="Times New Roman"/>
                <w:color w:val="auto"/>
                <w:sz w:val="21"/>
                <w:szCs w:val="21"/>
                <w:highlight w:val="none"/>
                <w:lang w:val="en-GB"/>
              </w:rPr>
              <w:t>设置围堰，发生泄漏后可全部通过导流沟进入事故水池；围堰内做好防腐防渗，确保所有泄漏的</w:t>
            </w:r>
            <w:r>
              <w:rPr>
                <w:rFonts w:hint="default" w:ascii="Times New Roman" w:hAnsi="Times New Roman" w:cs="Times New Roman"/>
                <w:color w:val="auto"/>
                <w:sz w:val="21"/>
                <w:szCs w:val="21"/>
                <w:highlight w:val="none"/>
                <w:lang w:val="en-US" w:eastAsia="zh-CN"/>
              </w:rPr>
              <w:t>物质</w:t>
            </w:r>
            <w:r>
              <w:rPr>
                <w:rFonts w:hint="default" w:ascii="Times New Roman" w:hAnsi="Times New Roman" w:cs="Times New Roman"/>
                <w:color w:val="auto"/>
                <w:sz w:val="21"/>
                <w:szCs w:val="21"/>
                <w:highlight w:val="none"/>
                <w:lang w:val="en-GB"/>
              </w:rPr>
              <w:t>可全部控制在厂内，不会外流出厂界对外环境造成影响。</w:t>
            </w:r>
          </w:p>
          <w:p>
            <w:pPr>
              <w:pStyle w:val="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highlight w:val="none"/>
                <w:lang w:val="en-GB"/>
              </w:rPr>
            </w:pPr>
            <w:r>
              <w:rPr>
                <w:rFonts w:hint="default" w:ascii="Times New Roman" w:hAnsi="Times New Roman" w:cs="Times New Roman"/>
                <w:color w:val="auto"/>
                <w:sz w:val="21"/>
                <w:szCs w:val="21"/>
                <w:highlight w:val="none"/>
                <w:lang w:val="en-US" w:eastAsia="zh-CN"/>
              </w:rPr>
              <w:t>③</w:t>
            </w:r>
            <w:r>
              <w:rPr>
                <w:rFonts w:hint="default" w:ascii="Times New Roman" w:hAnsi="Times New Roman" w:cs="Times New Roman"/>
                <w:color w:val="auto"/>
                <w:sz w:val="21"/>
                <w:szCs w:val="21"/>
                <w:highlight w:val="none"/>
              </w:rPr>
              <w:t>厂区</w:t>
            </w:r>
            <w:r>
              <w:rPr>
                <w:rFonts w:hint="default" w:ascii="Times New Roman" w:hAnsi="Times New Roman" w:cs="Times New Roman"/>
                <w:color w:val="auto"/>
                <w:sz w:val="21"/>
                <w:szCs w:val="21"/>
                <w:highlight w:val="none"/>
                <w:lang w:val="en-GB"/>
              </w:rPr>
              <w:t>设</w:t>
            </w:r>
            <w:r>
              <w:rPr>
                <w:rFonts w:hint="default" w:ascii="Times New Roman" w:hAnsi="Times New Roman" w:cs="Times New Roman"/>
                <w:color w:val="auto"/>
                <w:sz w:val="21"/>
                <w:szCs w:val="21"/>
                <w:highlight w:val="none"/>
              </w:rPr>
              <w:t>有</w:t>
            </w:r>
            <w:r>
              <w:rPr>
                <w:rFonts w:hint="default" w:ascii="Times New Roman" w:hAnsi="Times New Roman" w:cs="Times New Roman"/>
                <w:color w:val="auto"/>
                <w:sz w:val="21"/>
                <w:szCs w:val="21"/>
                <w:highlight w:val="none"/>
                <w:lang w:val="en-GB"/>
              </w:rPr>
              <w:t>一座事故应急池（</w:t>
            </w:r>
            <w:r>
              <w:rPr>
                <w:rFonts w:hint="default" w:ascii="Times New Roman" w:hAnsi="Times New Roman" w:cs="Times New Roman"/>
                <w:color w:val="auto"/>
                <w:sz w:val="21"/>
                <w:szCs w:val="21"/>
                <w:highlight w:val="none"/>
              </w:rPr>
              <w:t>2</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GB"/>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GB"/>
              </w:rPr>
              <w:t>），可满足事故排放要求。</w:t>
            </w:r>
          </w:p>
          <w:p>
            <w:pPr>
              <w:pStyle w:val="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highlight w:val="none"/>
                <w:lang w:val="en-GB"/>
              </w:rPr>
            </w:pPr>
            <w:r>
              <w:rPr>
                <w:rFonts w:hint="default" w:ascii="Times New Roman" w:hAnsi="Times New Roman" w:cs="Times New Roman"/>
                <w:color w:val="auto"/>
                <w:sz w:val="21"/>
                <w:szCs w:val="21"/>
                <w:highlight w:val="none"/>
                <w:lang w:val="en-US" w:eastAsia="zh-CN"/>
              </w:rPr>
              <w:t>④</w:t>
            </w:r>
            <w:r>
              <w:rPr>
                <w:rFonts w:hint="default" w:ascii="Times New Roman" w:hAnsi="Times New Roman" w:cs="Times New Roman"/>
                <w:color w:val="auto"/>
                <w:sz w:val="21"/>
                <w:szCs w:val="21"/>
                <w:highlight w:val="none"/>
              </w:rPr>
              <w:t>建设单位应根据本</w:t>
            </w:r>
            <w:r>
              <w:rPr>
                <w:rFonts w:hint="default" w:ascii="Times New Roman" w:hAnsi="Times New Roman" w:cs="Times New Roman"/>
                <w:color w:val="auto"/>
                <w:sz w:val="21"/>
                <w:szCs w:val="21"/>
                <w:highlight w:val="none"/>
                <w:lang w:val="en-US" w:eastAsia="zh-CN"/>
              </w:rPr>
              <w:t>项目建设</w:t>
            </w:r>
            <w:r>
              <w:rPr>
                <w:rFonts w:hint="default" w:ascii="Times New Roman" w:hAnsi="Times New Roman" w:cs="Times New Roman"/>
                <w:color w:val="auto"/>
                <w:sz w:val="21"/>
                <w:szCs w:val="21"/>
                <w:highlight w:val="none"/>
              </w:rPr>
              <w:t>内容对企业应急预案进行修编</w:t>
            </w:r>
            <w:r>
              <w:rPr>
                <w:rFonts w:hint="default" w:ascii="Times New Roman" w:hAnsi="Times New Roman" w:cs="Times New Roman"/>
                <w:color w:val="auto"/>
                <w:sz w:val="21"/>
                <w:szCs w:val="21"/>
                <w:highlight w:val="none"/>
                <w:lang w:val="en-GB"/>
              </w:rPr>
              <w:t>。</w:t>
            </w:r>
          </w:p>
          <w:p>
            <w:pPr>
              <w:pStyle w:val="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⑤</w:t>
            </w:r>
            <w:r>
              <w:rPr>
                <w:rFonts w:hint="default" w:ascii="Times New Roman" w:hAnsi="Times New Roman" w:cs="Times New Roman"/>
                <w:color w:val="auto"/>
                <w:sz w:val="21"/>
                <w:szCs w:val="21"/>
                <w:highlight w:val="none"/>
              </w:rPr>
              <w:t>企业应加强设备管理，确保设备完好，并制定严格的操作、管理制度，工作人员应培训上岗，定期对</w:t>
            </w:r>
            <w:r>
              <w:rPr>
                <w:rFonts w:hint="default" w:ascii="Times New Roman" w:hAnsi="Times New Roman" w:cs="Times New Roman"/>
                <w:color w:val="auto"/>
                <w:sz w:val="21"/>
                <w:szCs w:val="21"/>
                <w:highlight w:val="none"/>
                <w:lang w:val="en-US" w:eastAsia="zh-CN"/>
              </w:rPr>
              <w:t>管道、储罐区</w:t>
            </w:r>
            <w:r>
              <w:rPr>
                <w:rFonts w:hint="default" w:ascii="Times New Roman" w:hAnsi="Times New Roman" w:cs="Times New Roman"/>
                <w:color w:val="auto"/>
                <w:sz w:val="21"/>
                <w:szCs w:val="21"/>
                <w:highlight w:val="none"/>
              </w:rPr>
              <w:t>进行检查，杜绝“跑、冒、滴、漏”的发生。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6" w:type="dxa"/>
            <w:vAlign w:val="center"/>
          </w:tcPr>
          <w:p>
            <w:pPr>
              <w:adjustRightInd w:val="0"/>
              <w:snapToGrid w:val="0"/>
              <w:jc w:val="center"/>
              <w:rPr>
                <w:rFonts w:hint="default" w:ascii="Times New Roman" w:hAnsi="Times New Roman" w:cs="Times New Roman"/>
                <w:color w:val="auto"/>
                <w:spacing w:val="-8"/>
                <w:szCs w:val="21"/>
                <w:highlight w:val="none"/>
              </w:rPr>
            </w:pPr>
            <w:r>
              <w:rPr>
                <w:rFonts w:hint="default" w:ascii="Times New Roman" w:hAnsi="Times New Roman" w:cs="Times New Roman"/>
                <w:color w:val="auto"/>
                <w:spacing w:val="-8"/>
                <w:szCs w:val="21"/>
                <w:highlight w:val="none"/>
              </w:rPr>
              <w:t>其他环境管理要求</w:t>
            </w:r>
          </w:p>
        </w:tc>
        <w:tc>
          <w:tcPr>
            <w:tcW w:w="7874" w:type="dxa"/>
            <w:gridSpan w:val="4"/>
            <w:vAlign w:val="center"/>
          </w:tcPr>
          <w:p>
            <w:pPr>
              <w:keepNext w:val="0"/>
              <w:keepLines w:val="0"/>
              <w:pageBreakBefore w:val="0"/>
              <w:widowControl w:val="0"/>
              <w:kinsoku/>
              <w:wordWrap/>
              <w:overflowPunct/>
              <w:topLinePunct w:val="0"/>
              <w:autoSpaceDE/>
              <w:autoSpaceDN/>
              <w:bidi w:val="0"/>
              <w:spacing w:before="0" w:beforeAutospacing="0" w:after="0" w:afterAutospacing="0"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①设立专门的环保机构，配备专职环保工作人员。</w:t>
            </w:r>
          </w:p>
          <w:p>
            <w:pPr>
              <w:keepNext w:val="0"/>
              <w:keepLines w:val="0"/>
              <w:pageBreakBefore w:val="0"/>
              <w:widowControl w:val="0"/>
              <w:kinsoku/>
              <w:wordWrap/>
              <w:overflowPunct/>
              <w:topLinePunct w:val="0"/>
              <w:autoSpaceDE/>
              <w:autoSpaceDN/>
              <w:bidi w:val="0"/>
              <w:spacing w:before="0" w:beforeAutospacing="0" w:after="0" w:afterAutospacing="0"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②建立日常环境管理制度和环境管理工作计划。</w:t>
            </w:r>
          </w:p>
          <w:p>
            <w:pPr>
              <w:keepNext w:val="0"/>
              <w:keepLines w:val="0"/>
              <w:pageBreakBefore w:val="0"/>
              <w:widowControl/>
              <w:kinsoku/>
              <w:wordWrap/>
              <w:overflowPunct/>
              <w:topLinePunct w:val="0"/>
              <w:autoSpaceDE/>
              <w:autoSpaceDN/>
              <w:bidi w:val="0"/>
              <w:spacing w:line="240" w:lineRule="auto"/>
              <w:ind w:firstLine="0" w:firstLineChars="0"/>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③加强环保设施运行管理维护，建立环保设施运行台账，确保环保设施正常运行及污染物稳定达标排放。</w:t>
            </w:r>
          </w:p>
          <w:p>
            <w:pPr>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④</w:t>
            </w:r>
            <w:r>
              <w:rPr>
                <w:rFonts w:hint="default" w:ascii="Times New Roman" w:hAnsi="Times New Roman" w:cs="Times New Roman"/>
                <w:color w:val="auto"/>
                <w:kern w:val="0"/>
                <w:szCs w:val="21"/>
                <w:highlight w:val="none"/>
              </w:rPr>
              <w:t>企业投产前应按照《排污许可证申请与核发技术规范  总则》（HJ942-2018）、</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排污许可证申请与核发技术规范 工业固体废物和危险废物治理</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（HJ 1033—2019）</w:t>
            </w:r>
            <w:r>
              <w:rPr>
                <w:rFonts w:hint="default" w:ascii="Times New Roman" w:hAnsi="Times New Roman" w:cs="Times New Roman"/>
                <w:color w:val="auto"/>
                <w:kern w:val="0"/>
                <w:szCs w:val="21"/>
                <w:highlight w:val="none"/>
                <w:lang w:eastAsia="zh-CN"/>
              </w:rPr>
              <w:t>、《排污许可证申请与核发技术规范-橡胶和塑料制品工业》（HJ1122-2020）</w:t>
            </w:r>
            <w:r>
              <w:rPr>
                <w:rFonts w:hint="default" w:ascii="Times New Roman" w:hAnsi="Times New Roman" w:cs="Times New Roman"/>
                <w:color w:val="auto"/>
                <w:kern w:val="0"/>
                <w:szCs w:val="21"/>
                <w:highlight w:val="none"/>
              </w:rPr>
              <w:t>等有关要求，在国家排污许可证管理信息平台上</w:t>
            </w:r>
            <w:r>
              <w:rPr>
                <w:rFonts w:hint="default" w:ascii="Times New Roman" w:hAnsi="Times New Roman" w:cs="Times New Roman"/>
                <w:color w:val="auto"/>
                <w:kern w:val="0"/>
                <w:szCs w:val="21"/>
                <w:highlight w:val="none"/>
                <w:lang w:val="en-US" w:eastAsia="zh-CN"/>
              </w:rPr>
              <w:t>变更</w:t>
            </w:r>
            <w:r>
              <w:rPr>
                <w:rFonts w:hint="default" w:ascii="Times New Roman" w:hAnsi="Times New Roman" w:cs="Times New Roman"/>
                <w:color w:val="auto"/>
                <w:kern w:val="0"/>
                <w:szCs w:val="21"/>
                <w:highlight w:val="none"/>
              </w:rPr>
              <w:t>排污许可证。</w:t>
            </w:r>
          </w:p>
          <w:p>
            <w:pPr>
              <w:pStyle w:val="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5 \* GB3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⑤</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kern w:val="0"/>
                <w:sz w:val="21"/>
                <w:szCs w:val="21"/>
                <w:highlight w:val="none"/>
              </w:rPr>
              <w:t>根据《建设项目竣工环境保护验收暂行办法》，项目竣工后，建设单位如实查验、监测、记载建设项目环境保护设施的建设和调试情况，编制验收监测报告表。</w:t>
            </w:r>
          </w:p>
          <w:p>
            <w:pPr>
              <w:pStyle w:val="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rPr>
              <w:t>⑥按照《关于开展排放口规范化整治工作的通知》（环发[1999]24号）和《排污口规范化整治要求（试行）》（环监[1996]470号）等文件要求，规范设置排污口。</w:t>
            </w:r>
          </w:p>
        </w:tc>
      </w:tr>
    </w:tbl>
    <w:p>
      <w:pPr>
        <w:pStyle w:val="3"/>
        <w:numPr>
          <w:ilvl w:val="0"/>
          <w:numId w:val="9"/>
        </w:numPr>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br w:type="page"/>
      </w:r>
      <w:r>
        <w:rPr>
          <w:rFonts w:hint="default" w:ascii="Times New Roman" w:hAnsi="Times New Roman" w:cs="Times New Roman"/>
          <w:snapToGrid w:val="0"/>
          <w:color w:val="auto"/>
          <w:highlight w:val="none"/>
        </w:rPr>
        <w:t>结论</w:t>
      </w:r>
    </w:p>
    <w:tbl>
      <w:tblPr>
        <w:tblStyle w:val="11"/>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szCs w:val="21"/>
                <w:highlight w:val="none"/>
                <w:lang w:val="en-US" w:eastAsia="zh-CN"/>
              </w:rPr>
              <w:t>福建瑞峰革业有限公司DMF废液回收处理技改</w:t>
            </w:r>
            <w:r>
              <w:rPr>
                <w:rFonts w:hint="default" w:ascii="Times New Roman" w:hAnsi="Times New Roman" w:cs="Times New Roman"/>
                <w:color w:val="auto"/>
                <w:szCs w:val="21"/>
                <w:highlight w:val="none"/>
              </w:rPr>
              <w:t>项目</w:t>
            </w:r>
            <w:r>
              <w:rPr>
                <w:rFonts w:hint="default" w:ascii="Times New Roman" w:hAnsi="Times New Roman" w:cs="Times New Roman"/>
                <w:color w:val="auto"/>
                <w:highlight w:val="none"/>
              </w:rPr>
              <w:t>的建设符合国家有关产业政策，项目选址合理</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平面布局可行。项目</w:t>
            </w:r>
            <w:r>
              <w:rPr>
                <w:rFonts w:hint="default" w:ascii="Times New Roman" w:hAnsi="Times New Roman" w:cs="Times New Roman"/>
                <w:color w:val="auto"/>
                <w:highlight w:val="none"/>
                <w:lang w:val="en-US" w:eastAsia="zh-CN"/>
              </w:rPr>
              <w:t>建设</w:t>
            </w:r>
            <w:r>
              <w:rPr>
                <w:rFonts w:hint="default" w:ascii="Times New Roman" w:hAnsi="Times New Roman" w:cs="Times New Roman"/>
                <w:color w:val="auto"/>
                <w:highlight w:val="none"/>
              </w:rPr>
              <w:t>运营后</w:t>
            </w:r>
            <w:r>
              <w:rPr>
                <w:rFonts w:hint="default" w:ascii="Times New Roman" w:hAnsi="Times New Roman" w:cs="Times New Roman"/>
                <w:color w:val="auto"/>
                <w:highlight w:val="none"/>
                <w:lang w:val="en-US" w:eastAsia="zh-CN"/>
              </w:rPr>
              <w:t>能够减少危险废物的外运处置量，减少外购原辅料的量，节约成本，产生的污染物均能够得到有效处理处置</w:t>
            </w:r>
            <w:r>
              <w:rPr>
                <w:rFonts w:hint="default" w:ascii="Times New Roman" w:hAnsi="Times New Roman" w:cs="Times New Roman"/>
                <w:color w:val="auto"/>
                <w:highlight w:val="none"/>
              </w:rPr>
              <w:t>，对环境造成影响较小</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具有一定的环境和经济效益</w:t>
            </w:r>
            <w:r>
              <w:rPr>
                <w:rFonts w:hint="default" w:ascii="Times New Roman" w:hAnsi="Times New Roman" w:cs="Times New Roman"/>
                <w:color w:val="auto"/>
                <w:highlight w:val="none"/>
              </w:rPr>
              <w:t>。在工程建设中，严格执行“三同时”制度，项目投产后，严格遵守国家有关法律法规，严格执行相关标准和技术规范，严格落实各项环境风险防范措施，确保污染物排放总量控制在经环保行政主管部门核定的范围内，污染物达标排放的前提下，对周边环境影响较小，该项目可实现经济效益、环境效益的协调性发展。从环境保护的角度分析，该项目的建设是可行的。</w:t>
            </w:r>
          </w:p>
          <w:p>
            <w:pPr>
              <w:rPr>
                <w:rFonts w:hint="default" w:ascii="Times New Roman" w:hAnsi="Times New Roman" w:cs="Times New Roman"/>
                <w:color w:val="auto"/>
                <w:highlight w:val="none"/>
              </w:rPr>
            </w:pPr>
          </w:p>
          <w:p>
            <w:pPr>
              <w:rPr>
                <w:rFonts w:hint="default" w:ascii="Times New Roman" w:hAnsi="Times New Roman" w:cs="Times New Roman"/>
                <w:color w:val="auto"/>
                <w:sz w:val="24"/>
                <w:szCs w:val="24"/>
                <w:highlight w:val="none"/>
              </w:rPr>
            </w:pPr>
          </w:p>
          <w:p>
            <w:pPr>
              <w:rPr>
                <w:rFonts w:hint="default" w:ascii="Times New Roman" w:hAnsi="Times New Roman" w:cs="Times New Roman"/>
                <w:color w:val="auto"/>
                <w:sz w:val="24"/>
                <w:szCs w:val="24"/>
                <w:highlight w:val="none"/>
              </w:rPr>
            </w:pPr>
          </w:p>
          <w:p>
            <w:pPr>
              <w:rPr>
                <w:rFonts w:hint="default" w:ascii="Times New Roman" w:hAnsi="Times New Roman" w:cs="Times New Roman"/>
                <w:color w:val="auto"/>
                <w:sz w:val="24"/>
                <w:szCs w:val="24"/>
                <w:highlight w:val="none"/>
              </w:rPr>
            </w:pPr>
          </w:p>
          <w:p>
            <w:pPr>
              <w:rPr>
                <w:rFonts w:hint="default" w:ascii="Times New Roman" w:hAnsi="Times New Roman" w:cs="Times New Roman"/>
                <w:color w:val="auto"/>
                <w:sz w:val="24"/>
                <w:szCs w:val="24"/>
                <w:highlight w:val="none"/>
              </w:rPr>
            </w:pPr>
          </w:p>
          <w:p>
            <w:pPr>
              <w:rPr>
                <w:rFonts w:hint="default" w:ascii="Times New Roman" w:hAnsi="Times New Roman" w:cs="Times New Roman"/>
                <w:color w:val="auto"/>
                <w:sz w:val="24"/>
                <w:szCs w:val="24"/>
                <w:highlight w:val="none"/>
              </w:rPr>
            </w:pPr>
          </w:p>
          <w:p>
            <w:pPr>
              <w:rPr>
                <w:rFonts w:hint="default" w:ascii="Times New Roman" w:hAnsi="Times New Roman" w:cs="Times New Roman"/>
                <w:color w:val="auto"/>
                <w:sz w:val="24"/>
                <w:szCs w:val="24"/>
                <w:highlight w:val="none"/>
              </w:rPr>
            </w:pPr>
          </w:p>
          <w:p>
            <w:pPr>
              <w:jc w:val="righ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福建省闽创环保科技有限公司</w:t>
            </w:r>
          </w:p>
          <w:p>
            <w:pPr>
              <w:jc w:val="right"/>
              <w:rPr>
                <w:rFonts w:hint="default" w:ascii="Times New Roman" w:hAnsi="Times New Roman" w:cs="Times New Roman"/>
                <w:b/>
                <w:bCs/>
                <w:color w:val="auto"/>
                <w:sz w:val="24"/>
                <w:highlight w:val="none"/>
                <w:lang w:val="zh-CN"/>
              </w:rPr>
            </w:pPr>
            <w:r>
              <w:rPr>
                <w:rFonts w:hint="default" w:ascii="Times New Roman" w:hAnsi="Times New Roman" w:cs="Times New Roman"/>
                <w:b/>
                <w:bCs/>
                <w:color w:val="auto"/>
                <w:sz w:val="24"/>
                <w:highlight w:val="none"/>
                <w:lang w:val="zh-CN"/>
              </w:rPr>
              <w:t>202</w:t>
            </w:r>
            <w:r>
              <w:rPr>
                <w:rFonts w:hint="default" w:ascii="Times New Roman" w:hAnsi="Times New Roman" w:cs="Times New Roman"/>
                <w:b/>
                <w:bCs/>
                <w:color w:val="auto"/>
                <w:sz w:val="24"/>
                <w:highlight w:val="none"/>
                <w:lang w:val="en-US" w:eastAsia="zh-CN"/>
              </w:rPr>
              <w:t>2</w:t>
            </w:r>
            <w:r>
              <w:rPr>
                <w:rFonts w:hint="default" w:ascii="Times New Roman" w:hAnsi="Times New Roman" w:cs="Times New Roman"/>
                <w:b/>
                <w:bCs/>
                <w:color w:val="auto"/>
                <w:sz w:val="24"/>
                <w:highlight w:val="none"/>
                <w:lang w:val="zh-CN"/>
              </w:rPr>
              <w:t>年</w:t>
            </w:r>
            <w:r>
              <w:rPr>
                <w:rFonts w:hint="default" w:ascii="Times New Roman" w:hAnsi="Times New Roman" w:cs="Times New Roman"/>
                <w:b/>
                <w:bCs/>
                <w:color w:val="auto"/>
                <w:sz w:val="24"/>
                <w:highlight w:val="none"/>
                <w:lang w:val="en-US" w:eastAsia="zh-CN"/>
              </w:rPr>
              <w:t>9</w:t>
            </w:r>
            <w:r>
              <w:rPr>
                <w:rFonts w:hint="default" w:ascii="Times New Roman" w:hAnsi="Times New Roman" w:cs="Times New Roman"/>
                <w:b/>
                <w:bCs/>
                <w:color w:val="auto"/>
                <w:sz w:val="24"/>
                <w:highlight w:val="none"/>
                <w:lang w:val="zh-CN"/>
              </w:rPr>
              <w:t>月</w:t>
            </w:r>
          </w:p>
          <w:p>
            <w:pPr>
              <w:spacing w:line="360" w:lineRule="auto"/>
              <w:rPr>
                <w:rFonts w:hint="default" w:ascii="Times New Roman" w:hAnsi="Times New Roman" w:cs="Times New Roman"/>
                <w:color w:val="auto"/>
                <w:sz w:val="24"/>
                <w:highlight w:val="none"/>
              </w:rPr>
            </w:pPr>
          </w:p>
        </w:tc>
      </w:tr>
    </w:tbl>
    <w:p>
      <w:pPr>
        <w:rPr>
          <w:rFonts w:hint="default" w:ascii="Times New Roman" w:hAnsi="Times New Roman" w:cs="Times New Roman"/>
          <w:color w:val="auto"/>
          <w:highlight w:val="none"/>
        </w:rPr>
        <w:sectPr>
          <w:pgSz w:w="11905" w:h="16838"/>
          <w:pgMar w:top="1417" w:right="1417" w:bottom="1417" w:left="1417" w:header="851" w:footer="1077" w:gutter="0"/>
          <w:pgBorders>
            <w:top w:val="none" w:sz="0" w:space="0"/>
            <w:left w:val="none" w:sz="0" w:space="0"/>
            <w:bottom w:val="none" w:sz="0" w:space="0"/>
            <w:right w:val="none" w:sz="0" w:space="0"/>
          </w:pgBorders>
          <w:pgNumType w:fmt="numberInDash"/>
          <w:cols w:space="0" w:num="1"/>
          <w:docGrid w:linePitch="312" w:charSpace="0"/>
        </w:sectPr>
      </w:pPr>
    </w:p>
    <w:p>
      <w:pPr>
        <w:adjustRightInd w:val="0"/>
        <w:snapToGrid w:val="0"/>
        <w:spacing w:before="0" w:beforeAutospacing="0" w:after="0" w:afterAutospacing="0"/>
        <w:outlineLvl w:val="0"/>
        <w:rPr>
          <w:rFonts w:hint="default" w:ascii="Times New Roman" w:hAnsi="Times New Roman" w:eastAsia="黑体" w:cs="Times New Roman"/>
          <w:snapToGrid w:val="0"/>
          <w:color w:val="auto"/>
          <w:sz w:val="32"/>
          <w:szCs w:val="32"/>
          <w:highlight w:val="none"/>
        </w:rPr>
      </w:pPr>
      <w:r>
        <w:rPr>
          <w:rFonts w:hint="default" w:ascii="Times New Roman" w:hAnsi="Times New Roman" w:eastAsia="黑体" w:cs="Times New Roman"/>
          <w:snapToGrid w:val="0"/>
          <w:color w:val="auto"/>
          <w:sz w:val="32"/>
          <w:szCs w:val="32"/>
          <w:highlight w:val="none"/>
        </w:rPr>
        <w:t>附表</w:t>
      </w:r>
    </w:p>
    <w:p>
      <w:pPr>
        <w:adjustRightInd w:val="0"/>
        <w:snapToGrid w:val="0"/>
        <w:spacing w:before="0" w:beforeAutospacing="0" w:after="0" w:afterAutospacing="0"/>
        <w:jc w:val="center"/>
        <w:outlineLvl w:val="0"/>
        <w:rPr>
          <w:rFonts w:hint="default" w:ascii="Times New Roman" w:hAnsi="Times New Roman" w:eastAsia="方正小标宋_GBK" w:cs="Times New Roman"/>
          <w:snapToGrid w:val="0"/>
          <w:color w:val="auto"/>
          <w:sz w:val="36"/>
          <w:szCs w:val="36"/>
          <w:highlight w:val="none"/>
        </w:rPr>
      </w:pPr>
      <w:r>
        <w:rPr>
          <w:rFonts w:hint="default" w:ascii="Times New Roman" w:hAnsi="Times New Roman" w:eastAsia="方正小标宋_GBK" w:cs="Times New Roman"/>
          <w:snapToGrid w:val="0"/>
          <w:color w:val="auto"/>
          <w:sz w:val="36"/>
          <w:szCs w:val="36"/>
          <w:highlight w:val="none"/>
        </w:rPr>
        <w:t>建设项目污染物排放量汇总表</w:t>
      </w:r>
    </w:p>
    <w:tbl>
      <w:tblPr>
        <w:tblStyle w:val="11"/>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2155"/>
        <w:gridCol w:w="1360"/>
        <w:gridCol w:w="1276"/>
        <w:gridCol w:w="1491"/>
        <w:gridCol w:w="1596"/>
        <w:gridCol w:w="1554"/>
        <w:gridCol w:w="1828"/>
        <w:gridCol w:w="13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191" w:type="dxa"/>
            <w:tcBorders>
              <w:tl2br w:val="single" w:color="auto" w:sz="4" w:space="0"/>
            </w:tcBorders>
            <w:tcMar>
              <w:left w:w="28" w:type="dxa"/>
              <w:right w:w="28" w:type="dxa"/>
            </w:tcMar>
            <w:vAlign w:val="center"/>
          </w:tcPr>
          <w:p>
            <w:pPr>
              <w:spacing w:beforeLines="0" w:afterLines="0" w:line="240" w:lineRule="auto"/>
              <w:jc w:val="center"/>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lang w:val="en-US" w:eastAsia="zh-CN"/>
              </w:rPr>
              <w:t xml:space="preserve">    </w:t>
            </w:r>
            <w:r>
              <w:rPr>
                <w:rFonts w:hint="default" w:ascii="Times New Roman" w:hAnsi="Times New Roman" w:cs="Times New Roman"/>
                <w:snapToGrid w:val="0"/>
                <w:color w:val="auto"/>
                <w:spacing w:val="-6"/>
                <w:kern w:val="21"/>
                <w:szCs w:val="21"/>
                <w:highlight w:val="none"/>
              </w:rPr>
              <w:t>项目</w:t>
            </w:r>
          </w:p>
          <w:p>
            <w:pPr>
              <w:spacing w:beforeLines="0" w:afterLines="0" w:line="240" w:lineRule="auto"/>
              <w:jc w:val="both"/>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t>分类</w:t>
            </w:r>
          </w:p>
        </w:tc>
        <w:tc>
          <w:tcPr>
            <w:tcW w:w="2155" w:type="dxa"/>
            <w:tcMar>
              <w:left w:w="28" w:type="dxa"/>
              <w:right w:w="28" w:type="dxa"/>
            </w:tcMar>
            <w:vAlign w:val="center"/>
          </w:tcPr>
          <w:p>
            <w:pPr>
              <w:spacing w:beforeLines="0" w:afterLines="0" w:line="240" w:lineRule="auto"/>
              <w:jc w:val="center"/>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t>污染物名称</w:t>
            </w:r>
          </w:p>
        </w:tc>
        <w:tc>
          <w:tcPr>
            <w:tcW w:w="1360" w:type="dxa"/>
            <w:tcMar>
              <w:left w:w="28" w:type="dxa"/>
              <w:right w:w="28" w:type="dxa"/>
            </w:tcMar>
            <w:vAlign w:val="center"/>
          </w:tcPr>
          <w:p>
            <w:pPr>
              <w:spacing w:beforeLines="0" w:afterLines="0" w:line="240" w:lineRule="auto"/>
              <w:jc w:val="center"/>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t>现有工程</w:t>
            </w:r>
          </w:p>
          <w:p>
            <w:pPr>
              <w:spacing w:beforeLines="0" w:afterLines="0" w:line="240" w:lineRule="auto"/>
              <w:jc w:val="center"/>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t>排放量（固体废物产生量）</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kern w:val="2"/>
                <w:szCs w:val="21"/>
                <w:highlight w:val="none"/>
              </w:rPr>
              <w:t>①</w:t>
            </w:r>
            <w:r>
              <w:rPr>
                <w:rFonts w:hint="default" w:ascii="Times New Roman" w:hAnsi="Times New Roman" w:cs="Times New Roman"/>
                <w:snapToGrid w:val="0"/>
                <w:color w:val="auto"/>
                <w:spacing w:val="-6"/>
                <w:kern w:val="21"/>
                <w:szCs w:val="21"/>
                <w:highlight w:val="none"/>
              </w:rPr>
              <w:fldChar w:fldCharType="end"/>
            </w:r>
          </w:p>
        </w:tc>
        <w:tc>
          <w:tcPr>
            <w:tcW w:w="1276" w:type="dxa"/>
            <w:tcMar>
              <w:left w:w="28" w:type="dxa"/>
              <w:right w:w="28" w:type="dxa"/>
            </w:tcMar>
            <w:vAlign w:val="center"/>
          </w:tcPr>
          <w:p>
            <w:pPr>
              <w:spacing w:beforeLines="0" w:afterLines="0" w:line="240" w:lineRule="auto"/>
              <w:jc w:val="center"/>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t>现有工程</w:t>
            </w:r>
          </w:p>
          <w:p>
            <w:pPr>
              <w:spacing w:beforeLines="0" w:afterLines="0" w:line="240" w:lineRule="auto"/>
              <w:jc w:val="center"/>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t>许可排放量</w:t>
            </w:r>
          </w:p>
          <w:p>
            <w:pPr>
              <w:spacing w:beforeLines="0" w:afterLines="0" w:line="240" w:lineRule="auto"/>
              <w:jc w:val="center"/>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2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snapToGrid w:val="0"/>
                <w:color w:val="auto"/>
                <w:spacing w:val="-6"/>
                <w:kern w:val="21"/>
                <w:szCs w:val="21"/>
                <w:highlight w:val="none"/>
              </w:rPr>
              <w:t>②</w:t>
            </w:r>
            <w:r>
              <w:rPr>
                <w:rFonts w:hint="default" w:ascii="Times New Roman" w:hAnsi="Times New Roman" w:cs="Times New Roman"/>
                <w:snapToGrid w:val="0"/>
                <w:color w:val="auto"/>
                <w:spacing w:val="-6"/>
                <w:kern w:val="21"/>
                <w:szCs w:val="21"/>
                <w:highlight w:val="none"/>
              </w:rPr>
              <w:fldChar w:fldCharType="end"/>
            </w:r>
          </w:p>
        </w:tc>
        <w:tc>
          <w:tcPr>
            <w:tcW w:w="1491" w:type="dxa"/>
            <w:tcMar>
              <w:left w:w="28" w:type="dxa"/>
              <w:right w:w="28" w:type="dxa"/>
            </w:tcMar>
            <w:vAlign w:val="center"/>
          </w:tcPr>
          <w:p>
            <w:pPr>
              <w:spacing w:beforeLines="0" w:afterLines="0" w:line="240" w:lineRule="auto"/>
              <w:jc w:val="center"/>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t>在建工程</w:t>
            </w:r>
          </w:p>
          <w:p>
            <w:pPr>
              <w:spacing w:beforeLines="0" w:afterLines="0" w:line="240" w:lineRule="auto"/>
              <w:jc w:val="center"/>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t>排放量（固体废物产生量）</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kern w:val="2"/>
                <w:szCs w:val="21"/>
                <w:highlight w:val="none"/>
              </w:rPr>
              <w:t>③</w:t>
            </w:r>
            <w:r>
              <w:rPr>
                <w:rFonts w:hint="default" w:ascii="Times New Roman" w:hAnsi="Times New Roman" w:cs="Times New Roman"/>
                <w:snapToGrid w:val="0"/>
                <w:color w:val="auto"/>
                <w:spacing w:val="-6"/>
                <w:kern w:val="21"/>
                <w:szCs w:val="21"/>
                <w:highlight w:val="none"/>
              </w:rPr>
              <w:fldChar w:fldCharType="end"/>
            </w:r>
          </w:p>
        </w:tc>
        <w:tc>
          <w:tcPr>
            <w:tcW w:w="1596" w:type="dxa"/>
            <w:tcMar>
              <w:left w:w="28" w:type="dxa"/>
              <w:right w:w="28" w:type="dxa"/>
            </w:tcMar>
            <w:vAlign w:val="center"/>
          </w:tcPr>
          <w:p>
            <w:pPr>
              <w:spacing w:beforeLines="0" w:afterLines="0" w:line="240" w:lineRule="auto"/>
              <w:jc w:val="center"/>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t>本项目</w:t>
            </w:r>
          </w:p>
          <w:p>
            <w:pPr>
              <w:spacing w:beforeLines="0" w:afterLines="0" w:line="240" w:lineRule="auto"/>
              <w:jc w:val="center"/>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t>排放量（固体废物产生量）</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kern w:val="2"/>
                <w:szCs w:val="21"/>
                <w:highlight w:val="none"/>
              </w:rPr>
              <w:t>④</w:t>
            </w:r>
            <w:r>
              <w:rPr>
                <w:rFonts w:hint="default" w:ascii="Times New Roman" w:hAnsi="Times New Roman" w:cs="Times New Roman"/>
                <w:snapToGrid w:val="0"/>
                <w:color w:val="auto"/>
                <w:spacing w:val="-6"/>
                <w:kern w:val="21"/>
                <w:szCs w:val="21"/>
                <w:highlight w:val="none"/>
              </w:rPr>
              <w:fldChar w:fldCharType="end"/>
            </w:r>
          </w:p>
        </w:tc>
        <w:tc>
          <w:tcPr>
            <w:tcW w:w="1554" w:type="dxa"/>
            <w:tcMar>
              <w:left w:w="28" w:type="dxa"/>
              <w:right w:w="28" w:type="dxa"/>
            </w:tcMar>
            <w:vAlign w:val="center"/>
          </w:tcPr>
          <w:p>
            <w:pPr>
              <w:spacing w:beforeLines="0" w:afterLines="0" w:line="240" w:lineRule="auto"/>
              <w:jc w:val="center"/>
              <w:rPr>
                <w:rFonts w:hint="default" w:ascii="Times New Roman" w:hAnsi="Times New Roman" w:cs="Times New Roman"/>
                <w:snapToGrid w:val="0"/>
                <w:color w:val="auto"/>
                <w:spacing w:val="-16"/>
                <w:kern w:val="21"/>
                <w:szCs w:val="21"/>
                <w:highlight w:val="none"/>
              </w:rPr>
            </w:pPr>
            <w:r>
              <w:rPr>
                <w:rFonts w:hint="default" w:ascii="Times New Roman" w:hAnsi="Times New Roman" w:cs="Times New Roman"/>
                <w:snapToGrid w:val="0"/>
                <w:color w:val="auto"/>
                <w:spacing w:val="-16"/>
                <w:kern w:val="21"/>
                <w:szCs w:val="21"/>
                <w:highlight w:val="none"/>
              </w:rPr>
              <w:t>以新带老削减量</w:t>
            </w:r>
          </w:p>
          <w:p>
            <w:pPr>
              <w:spacing w:beforeLines="0" w:afterLines="0" w:line="240" w:lineRule="auto"/>
              <w:jc w:val="center"/>
              <w:rPr>
                <w:rFonts w:hint="default" w:ascii="Times New Roman" w:hAnsi="Times New Roman" w:cs="Times New Roman"/>
                <w:snapToGrid w:val="0"/>
                <w:color w:val="auto"/>
                <w:spacing w:val="-16"/>
                <w:kern w:val="21"/>
                <w:szCs w:val="21"/>
                <w:highlight w:val="none"/>
              </w:rPr>
            </w:pPr>
            <w:r>
              <w:rPr>
                <w:rFonts w:hint="default" w:ascii="Times New Roman" w:hAnsi="Times New Roman" w:cs="Times New Roman"/>
                <w:snapToGrid w:val="0"/>
                <w:color w:val="auto"/>
                <w:spacing w:val="-16"/>
                <w:kern w:val="21"/>
                <w:szCs w:val="21"/>
                <w:highlight w:val="none"/>
              </w:rPr>
              <w:t>（新建项目不填）</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kern w:val="2"/>
                <w:szCs w:val="21"/>
                <w:highlight w:val="none"/>
              </w:rPr>
              <w:t>⑤</w:t>
            </w:r>
            <w:r>
              <w:rPr>
                <w:rFonts w:hint="default" w:ascii="Times New Roman" w:hAnsi="Times New Roman" w:cs="Times New Roman"/>
                <w:snapToGrid w:val="0"/>
                <w:color w:val="auto"/>
                <w:spacing w:val="-16"/>
                <w:kern w:val="21"/>
                <w:szCs w:val="21"/>
                <w:highlight w:val="none"/>
              </w:rPr>
              <w:fldChar w:fldCharType="end"/>
            </w:r>
          </w:p>
        </w:tc>
        <w:tc>
          <w:tcPr>
            <w:tcW w:w="1828" w:type="dxa"/>
            <w:tcMar>
              <w:left w:w="28" w:type="dxa"/>
              <w:right w:w="28" w:type="dxa"/>
            </w:tcMar>
            <w:vAlign w:val="center"/>
          </w:tcPr>
          <w:p>
            <w:pPr>
              <w:spacing w:beforeLines="0" w:afterLines="0" w:line="240" w:lineRule="auto"/>
              <w:jc w:val="center"/>
              <w:rPr>
                <w:rFonts w:hint="default" w:ascii="Times New Roman" w:hAnsi="Times New Roman" w:cs="Times New Roman"/>
                <w:snapToGrid w:val="0"/>
                <w:color w:val="auto"/>
                <w:spacing w:val="-16"/>
                <w:kern w:val="21"/>
                <w:szCs w:val="21"/>
                <w:highlight w:val="none"/>
              </w:rPr>
            </w:pPr>
            <w:r>
              <w:rPr>
                <w:rFonts w:hint="default" w:ascii="Times New Roman" w:hAnsi="Times New Roman" w:cs="Times New Roman"/>
                <w:snapToGrid w:val="0"/>
                <w:color w:val="auto"/>
                <w:spacing w:val="-16"/>
                <w:kern w:val="21"/>
                <w:szCs w:val="21"/>
                <w:highlight w:val="none"/>
              </w:rPr>
              <w:t>本项目建成后</w:t>
            </w:r>
          </w:p>
          <w:p>
            <w:pPr>
              <w:spacing w:beforeLines="0" w:afterLines="0" w:line="240" w:lineRule="auto"/>
              <w:jc w:val="center"/>
              <w:rPr>
                <w:rFonts w:hint="default" w:ascii="Times New Roman" w:hAnsi="Times New Roman" w:cs="Times New Roman"/>
                <w:snapToGrid w:val="0"/>
                <w:color w:val="auto"/>
                <w:spacing w:val="-16"/>
                <w:kern w:val="21"/>
                <w:szCs w:val="21"/>
                <w:highlight w:val="none"/>
              </w:rPr>
            </w:pPr>
            <w:r>
              <w:rPr>
                <w:rFonts w:hint="default" w:ascii="Times New Roman" w:hAnsi="Times New Roman" w:cs="Times New Roman"/>
                <w:snapToGrid w:val="0"/>
                <w:color w:val="auto"/>
                <w:spacing w:val="-16"/>
                <w:kern w:val="21"/>
                <w:szCs w:val="21"/>
                <w:highlight w:val="none"/>
              </w:rPr>
              <w:t>全厂排放量（固体废物产生量）</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kern w:val="2"/>
                <w:szCs w:val="21"/>
                <w:highlight w:val="none"/>
              </w:rPr>
              <w:t>⑥</w:t>
            </w:r>
            <w:r>
              <w:rPr>
                <w:rFonts w:hint="default" w:ascii="Times New Roman" w:hAnsi="Times New Roman" w:cs="Times New Roman"/>
                <w:snapToGrid w:val="0"/>
                <w:color w:val="auto"/>
                <w:spacing w:val="-16"/>
                <w:kern w:val="21"/>
                <w:szCs w:val="21"/>
                <w:highlight w:val="none"/>
              </w:rPr>
              <w:fldChar w:fldCharType="end"/>
            </w:r>
          </w:p>
        </w:tc>
        <w:tc>
          <w:tcPr>
            <w:tcW w:w="1337" w:type="dxa"/>
            <w:tcMar>
              <w:left w:w="28" w:type="dxa"/>
              <w:right w:w="28" w:type="dxa"/>
            </w:tcMar>
            <w:vAlign w:val="center"/>
          </w:tcPr>
          <w:p>
            <w:pPr>
              <w:spacing w:beforeLines="0" w:afterLines="0" w:line="240" w:lineRule="auto"/>
              <w:jc w:val="center"/>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t>变化量</w:t>
            </w:r>
          </w:p>
          <w:p>
            <w:pPr>
              <w:spacing w:beforeLines="0" w:afterLines="0" w:line="240" w:lineRule="auto"/>
              <w:jc w:val="center"/>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kern w:val="2"/>
                <w:szCs w:val="21"/>
                <w:highlight w:val="none"/>
              </w:rPr>
              <w:t>⑦</w:t>
            </w:r>
            <w:r>
              <w:rPr>
                <w:rFonts w:hint="default" w:ascii="Times New Roman" w:hAnsi="Times New Roman" w:cs="Times New Roman"/>
                <w:snapToGrid w:val="0"/>
                <w:color w:val="auto"/>
                <w:spacing w:val="-6"/>
                <w:kern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1" w:type="dxa"/>
            <w:vMerge w:val="restart"/>
            <w:vAlign w:val="center"/>
          </w:tcPr>
          <w:p>
            <w:pPr>
              <w:spacing w:beforeLines="0" w:afterLines="0" w:line="240" w:lineRule="auto"/>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废气</w:t>
            </w:r>
          </w:p>
        </w:tc>
        <w:tc>
          <w:tcPr>
            <w:tcW w:w="2155" w:type="dxa"/>
            <w:vAlign w:val="center"/>
          </w:tcPr>
          <w:p>
            <w:pPr>
              <w:pStyle w:val="16"/>
              <w:ind w:left="0" w:leftChars="0" w:firstLine="0" w:firstLineChars="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highlight w:val="none"/>
                <w:lang w:val="en-US" w:eastAsia="zh-CN"/>
              </w:rPr>
              <w:t>苯</w:t>
            </w:r>
          </w:p>
        </w:tc>
        <w:tc>
          <w:tcPr>
            <w:tcW w:w="1360" w:type="dxa"/>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0.0051t/a</w:t>
            </w:r>
          </w:p>
        </w:tc>
        <w:tc>
          <w:tcPr>
            <w:tcW w:w="1276"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1491" w:type="dxa"/>
            <w:vAlign w:val="center"/>
          </w:tcPr>
          <w:p>
            <w:pPr>
              <w:widowControl/>
              <w:jc w:val="center"/>
              <w:textAlignment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0"/>
                <w:szCs w:val="21"/>
                <w:highlight w:val="none"/>
                <w:lang w:bidi="ar"/>
              </w:rPr>
              <w:t>0</w:t>
            </w:r>
          </w:p>
        </w:tc>
        <w:tc>
          <w:tcPr>
            <w:tcW w:w="1596" w:type="dxa"/>
            <w:vAlign w:val="center"/>
          </w:tcPr>
          <w:p>
            <w:pPr>
              <w:widowControl/>
              <w:jc w:val="center"/>
              <w:textAlignment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0"/>
                <w:szCs w:val="21"/>
                <w:highlight w:val="none"/>
                <w:lang w:bidi="ar"/>
              </w:rPr>
              <w:t>0</w:t>
            </w:r>
          </w:p>
        </w:tc>
        <w:tc>
          <w:tcPr>
            <w:tcW w:w="1554" w:type="dxa"/>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0.0002t/a</w:t>
            </w:r>
          </w:p>
        </w:tc>
        <w:tc>
          <w:tcPr>
            <w:tcW w:w="1828" w:type="dxa"/>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0.0049t/a</w:t>
            </w:r>
          </w:p>
        </w:tc>
        <w:tc>
          <w:tcPr>
            <w:tcW w:w="1337" w:type="dxa"/>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-0.0002t/a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1" w:type="dxa"/>
            <w:vMerge w:val="continue"/>
            <w:vAlign w:val="center"/>
          </w:tcPr>
          <w:p>
            <w:pPr>
              <w:spacing w:beforeLines="0" w:afterLines="0" w:line="240" w:lineRule="auto"/>
              <w:jc w:val="center"/>
              <w:rPr>
                <w:rFonts w:hint="default" w:ascii="Times New Roman" w:hAnsi="Times New Roman" w:cs="Times New Roman"/>
                <w:snapToGrid w:val="0"/>
                <w:color w:val="auto"/>
                <w:kern w:val="21"/>
                <w:szCs w:val="21"/>
                <w:highlight w:val="none"/>
              </w:rPr>
            </w:pPr>
          </w:p>
        </w:tc>
        <w:tc>
          <w:tcPr>
            <w:tcW w:w="2155" w:type="dxa"/>
            <w:vAlign w:val="center"/>
          </w:tcPr>
          <w:p>
            <w:pPr>
              <w:pStyle w:val="16"/>
              <w:ind w:left="0" w:leftChars="0" w:firstLine="0" w:firstLineChars="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highlight w:val="none"/>
                <w:lang w:val="en-US" w:eastAsia="zh-CN"/>
              </w:rPr>
              <w:t>甲苯</w:t>
            </w:r>
          </w:p>
        </w:tc>
        <w:tc>
          <w:tcPr>
            <w:tcW w:w="1360" w:type="dxa"/>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0.0920t/a</w:t>
            </w:r>
          </w:p>
        </w:tc>
        <w:tc>
          <w:tcPr>
            <w:tcW w:w="1276"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1491" w:type="dxa"/>
            <w:vAlign w:val="center"/>
          </w:tcPr>
          <w:p>
            <w:pPr>
              <w:widowControl/>
              <w:jc w:val="center"/>
              <w:textAlignment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0"/>
                <w:szCs w:val="21"/>
                <w:highlight w:val="none"/>
                <w:lang w:bidi="ar"/>
              </w:rPr>
              <w:t>0</w:t>
            </w:r>
          </w:p>
        </w:tc>
        <w:tc>
          <w:tcPr>
            <w:tcW w:w="1596" w:type="dxa"/>
            <w:vAlign w:val="center"/>
          </w:tcPr>
          <w:p>
            <w:pPr>
              <w:widowControl/>
              <w:jc w:val="center"/>
              <w:textAlignment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0"/>
                <w:szCs w:val="21"/>
                <w:highlight w:val="none"/>
                <w:lang w:bidi="ar"/>
              </w:rPr>
              <w:t>0</w:t>
            </w:r>
          </w:p>
        </w:tc>
        <w:tc>
          <w:tcPr>
            <w:tcW w:w="1554" w:type="dxa"/>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0.0039t/a</w:t>
            </w:r>
          </w:p>
        </w:tc>
        <w:tc>
          <w:tcPr>
            <w:tcW w:w="1828" w:type="dxa"/>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0.0881t/a</w:t>
            </w:r>
          </w:p>
        </w:tc>
        <w:tc>
          <w:tcPr>
            <w:tcW w:w="1337" w:type="dxa"/>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-0.0039t/a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1" w:type="dxa"/>
            <w:vMerge w:val="continue"/>
            <w:vAlign w:val="center"/>
          </w:tcPr>
          <w:p>
            <w:pPr>
              <w:spacing w:beforeLines="0" w:afterLines="0" w:line="240" w:lineRule="auto"/>
              <w:jc w:val="center"/>
              <w:rPr>
                <w:rFonts w:hint="default" w:ascii="Times New Roman" w:hAnsi="Times New Roman" w:cs="Times New Roman"/>
                <w:snapToGrid w:val="0"/>
                <w:color w:val="auto"/>
                <w:kern w:val="21"/>
                <w:szCs w:val="21"/>
                <w:highlight w:val="none"/>
              </w:rPr>
            </w:pPr>
          </w:p>
        </w:tc>
        <w:tc>
          <w:tcPr>
            <w:tcW w:w="2155" w:type="dxa"/>
            <w:vAlign w:val="center"/>
          </w:tcPr>
          <w:p>
            <w:pPr>
              <w:pStyle w:val="16"/>
              <w:ind w:left="0" w:leftChars="0" w:firstLine="0" w:firstLineChars="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highlight w:val="none"/>
                <w:lang w:val="en-US" w:eastAsia="zh-CN"/>
              </w:rPr>
              <w:t>二甲苯</w:t>
            </w:r>
          </w:p>
        </w:tc>
        <w:tc>
          <w:tcPr>
            <w:tcW w:w="1360" w:type="dxa"/>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0.0791t/a</w:t>
            </w:r>
          </w:p>
        </w:tc>
        <w:tc>
          <w:tcPr>
            <w:tcW w:w="1276"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1491" w:type="dxa"/>
            <w:vAlign w:val="center"/>
          </w:tcPr>
          <w:p>
            <w:pPr>
              <w:widowControl/>
              <w:jc w:val="center"/>
              <w:textAlignment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0"/>
                <w:szCs w:val="21"/>
                <w:highlight w:val="none"/>
                <w:lang w:bidi="ar"/>
              </w:rPr>
              <w:t>0</w:t>
            </w:r>
          </w:p>
        </w:tc>
        <w:tc>
          <w:tcPr>
            <w:tcW w:w="1596" w:type="dxa"/>
            <w:vAlign w:val="center"/>
          </w:tcPr>
          <w:p>
            <w:pPr>
              <w:widowControl/>
              <w:jc w:val="center"/>
              <w:textAlignment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0"/>
                <w:szCs w:val="21"/>
                <w:highlight w:val="none"/>
                <w:lang w:bidi="ar"/>
              </w:rPr>
              <w:t>0</w:t>
            </w:r>
          </w:p>
        </w:tc>
        <w:tc>
          <w:tcPr>
            <w:tcW w:w="1554" w:type="dxa"/>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0.0139t/a</w:t>
            </w:r>
          </w:p>
        </w:tc>
        <w:tc>
          <w:tcPr>
            <w:tcW w:w="1828" w:type="dxa"/>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0.0652t/a</w:t>
            </w:r>
          </w:p>
        </w:tc>
        <w:tc>
          <w:tcPr>
            <w:tcW w:w="1337" w:type="dxa"/>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-0.0139t/a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1" w:type="dxa"/>
            <w:vMerge w:val="continue"/>
            <w:vAlign w:val="center"/>
          </w:tcPr>
          <w:p>
            <w:pPr>
              <w:spacing w:beforeLines="0" w:afterLines="0" w:line="240" w:lineRule="auto"/>
              <w:jc w:val="center"/>
              <w:rPr>
                <w:rFonts w:hint="default" w:ascii="Times New Roman" w:hAnsi="Times New Roman" w:cs="Times New Roman"/>
                <w:snapToGrid w:val="0"/>
                <w:color w:val="auto"/>
                <w:kern w:val="21"/>
                <w:szCs w:val="21"/>
                <w:highlight w:val="none"/>
              </w:rPr>
            </w:pPr>
          </w:p>
        </w:tc>
        <w:tc>
          <w:tcPr>
            <w:tcW w:w="2155" w:type="dxa"/>
            <w:vAlign w:val="center"/>
          </w:tcPr>
          <w:p>
            <w:pPr>
              <w:pStyle w:val="16"/>
              <w:ind w:left="0" w:leftChars="0" w:firstLine="0" w:firstLineChars="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highlight w:val="none"/>
                <w:lang w:val="en-US" w:eastAsia="zh-CN"/>
              </w:rPr>
              <w:t>非甲烷总烃</w:t>
            </w:r>
          </w:p>
        </w:tc>
        <w:tc>
          <w:tcPr>
            <w:tcW w:w="1360" w:type="dxa"/>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24.2312t/a</w:t>
            </w:r>
          </w:p>
        </w:tc>
        <w:tc>
          <w:tcPr>
            <w:tcW w:w="1276" w:type="dxa"/>
            <w:vAlign w:val="center"/>
          </w:tcPr>
          <w:p>
            <w:pPr>
              <w:widowControl/>
              <w:jc w:val="center"/>
              <w:textAlignment w:val="bottom"/>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103.68t/a</w:t>
            </w:r>
          </w:p>
        </w:tc>
        <w:tc>
          <w:tcPr>
            <w:tcW w:w="1491" w:type="dxa"/>
            <w:vAlign w:val="center"/>
          </w:tcPr>
          <w:p>
            <w:pPr>
              <w:widowControl/>
              <w:jc w:val="center"/>
              <w:textAlignment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0"/>
                <w:szCs w:val="21"/>
                <w:highlight w:val="none"/>
                <w:lang w:bidi="ar"/>
              </w:rPr>
              <w:t>0</w:t>
            </w:r>
          </w:p>
        </w:tc>
        <w:tc>
          <w:tcPr>
            <w:tcW w:w="1596" w:type="dxa"/>
            <w:vAlign w:val="center"/>
          </w:tcPr>
          <w:p>
            <w:pPr>
              <w:widowControl/>
              <w:jc w:val="center"/>
              <w:textAlignment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0"/>
                <w:szCs w:val="21"/>
                <w:highlight w:val="none"/>
                <w:lang w:bidi="ar"/>
              </w:rPr>
              <w:t>0</w:t>
            </w:r>
          </w:p>
        </w:tc>
        <w:tc>
          <w:tcPr>
            <w:tcW w:w="1554" w:type="dxa"/>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3.5005t/a</w:t>
            </w:r>
          </w:p>
        </w:tc>
        <w:tc>
          <w:tcPr>
            <w:tcW w:w="1828" w:type="dxa"/>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20.7307t/a</w:t>
            </w:r>
          </w:p>
        </w:tc>
        <w:tc>
          <w:tcPr>
            <w:tcW w:w="1337" w:type="dxa"/>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-3.5005t/a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1" w:type="dxa"/>
            <w:vMerge w:val="continue"/>
            <w:vAlign w:val="center"/>
          </w:tcPr>
          <w:p>
            <w:pPr>
              <w:spacing w:beforeLines="0" w:afterLines="0" w:line="240" w:lineRule="auto"/>
              <w:jc w:val="center"/>
              <w:rPr>
                <w:rFonts w:hint="default" w:ascii="Times New Roman" w:hAnsi="Times New Roman" w:cs="Times New Roman"/>
                <w:snapToGrid w:val="0"/>
                <w:color w:val="auto"/>
                <w:kern w:val="21"/>
                <w:szCs w:val="21"/>
                <w:highlight w:val="none"/>
              </w:rPr>
            </w:pPr>
          </w:p>
        </w:tc>
        <w:tc>
          <w:tcPr>
            <w:tcW w:w="2155" w:type="dxa"/>
            <w:vAlign w:val="center"/>
          </w:tcPr>
          <w:p>
            <w:pPr>
              <w:pStyle w:val="16"/>
              <w:ind w:left="0" w:leftChars="0" w:firstLine="0" w:firstLineChars="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highlight w:val="none"/>
                <w:lang w:val="en-US" w:eastAsia="zh-CN"/>
              </w:rPr>
              <w:t>DMF</w:t>
            </w:r>
          </w:p>
        </w:tc>
        <w:tc>
          <w:tcPr>
            <w:tcW w:w="1360" w:type="dxa"/>
            <w:vAlign w:val="center"/>
          </w:tcPr>
          <w:p>
            <w:pPr>
              <w:pStyle w:val="16"/>
              <w:ind w:left="0" w:leftChars="0" w:firstLine="0" w:firstLineChars="0"/>
              <w:rPr>
                <w:rFonts w:hint="default" w:ascii="Times New Roman" w:hAnsi="Times New Roman" w:eastAsia="宋体" w:cs="Times New Roman"/>
                <w:color w:val="auto"/>
                <w:sz w:val="21"/>
                <w:szCs w:val="22"/>
                <w:highlight w:val="none"/>
                <w:lang w:val="en-US" w:eastAsia="zh-CN"/>
              </w:rPr>
            </w:pPr>
            <w:r>
              <w:rPr>
                <w:rFonts w:hint="default" w:ascii="Times New Roman" w:hAnsi="Times New Roman" w:cs="Times New Roman"/>
                <w:color w:val="auto"/>
                <w:szCs w:val="22"/>
                <w:highlight w:val="none"/>
                <w:lang w:val="en-US" w:eastAsia="zh-CN"/>
              </w:rPr>
              <w:t>7.6178t/a</w:t>
            </w:r>
          </w:p>
        </w:tc>
        <w:tc>
          <w:tcPr>
            <w:tcW w:w="1276"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1491" w:type="dxa"/>
            <w:vAlign w:val="center"/>
          </w:tcPr>
          <w:p>
            <w:pPr>
              <w:widowControl/>
              <w:jc w:val="center"/>
              <w:textAlignment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0"/>
                <w:szCs w:val="21"/>
                <w:highlight w:val="none"/>
                <w:lang w:bidi="ar"/>
              </w:rPr>
              <w:t>0</w:t>
            </w:r>
          </w:p>
        </w:tc>
        <w:tc>
          <w:tcPr>
            <w:tcW w:w="1596" w:type="dxa"/>
            <w:vAlign w:val="center"/>
          </w:tcPr>
          <w:p>
            <w:pPr>
              <w:widowControl/>
              <w:jc w:val="center"/>
              <w:textAlignment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0"/>
                <w:szCs w:val="21"/>
                <w:highlight w:val="none"/>
                <w:lang w:bidi="ar"/>
              </w:rPr>
              <w:t>0</w:t>
            </w:r>
          </w:p>
        </w:tc>
        <w:tc>
          <w:tcPr>
            <w:tcW w:w="1554" w:type="dxa"/>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1.1952t/a</w:t>
            </w:r>
          </w:p>
        </w:tc>
        <w:tc>
          <w:tcPr>
            <w:tcW w:w="1828" w:type="dxa"/>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6.4226t/a</w:t>
            </w:r>
          </w:p>
        </w:tc>
        <w:tc>
          <w:tcPr>
            <w:tcW w:w="1337" w:type="dxa"/>
            <w:vAlign w:val="center"/>
          </w:tcPr>
          <w:p>
            <w:pPr>
              <w:pStyle w:val="16"/>
              <w:ind w:left="0" w:leftChars="0" w:firstLine="0" w:firstLineChars="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-1.1952t/a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1" w:type="dxa"/>
            <w:vMerge w:val="restart"/>
            <w:vAlign w:val="center"/>
          </w:tcPr>
          <w:p>
            <w:pPr>
              <w:spacing w:beforeLines="0" w:afterLines="0" w:line="240" w:lineRule="auto"/>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废水</w:t>
            </w:r>
          </w:p>
        </w:tc>
        <w:tc>
          <w:tcPr>
            <w:tcW w:w="2155" w:type="dxa"/>
            <w:vAlign w:val="center"/>
          </w:tcPr>
          <w:p>
            <w:pPr>
              <w:pStyle w:val="16"/>
              <w:ind w:left="0" w:leftChars="0" w:firstLine="0" w:firstLineChars="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highlight w:val="none"/>
              </w:rPr>
              <w:t>废水量</w:t>
            </w:r>
          </w:p>
        </w:tc>
        <w:tc>
          <w:tcPr>
            <w:tcW w:w="1360" w:type="dxa"/>
            <w:vAlign w:val="center"/>
          </w:tcPr>
          <w:p>
            <w:pPr>
              <w:pStyle w:val="16"/>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lang w:val="en-US" w:eastAsia="zh-CN"/>
              </w:rPr>
              <w:t>3888</w:t>
            </w:r>
            <w:r>
              <w:rPr>
                <w:rFonts w:hint="default" w:ascii="Times New Roman" w:hAnsi="Times New Roman" w:cs="Times New Roman"/>
                <w:color w:val="auto"/>
                <w:sz w:val="21"/>
                <w:szCs w:val="21"/>
                <w:highlight w:val="none"/>
                <w:lang w:val="en-US" w:eastAsia="zh-CN"/>
              </w:rPr>
              <w:t>t/a</w:t>
            </w:r>
          </w:p>
        </w:tc>
        <w:tc>
          <w:tcPr>
            <w:tcW w:w="1276"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1491"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596" w:type="dxa"/>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0</w:t>
            </w:r>
          </w:p>
        </w:tc>
        <w:tc>
          <w:tcPr>
            <w:tcW w:w="1554" w:type="dxa"/>
            <w:vAlign w:val="center"/>
          </w:tcPr>
          <w:p>
            <w:pPr>
              <w:widowControl/>
              <w:jc w:val="center"/>
              <w:textAlignment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0"/>
                <w:szCs w:val="21"/>
                <w:highlight w:val="none"/>
                <w:lang w:bidi="ar"/>
              </w:rPr>
              <w:t>0</w:t>
            </w:r>
          </w:p>
        </w:tc>
        <w:tc>
          <w:tcPr>
            <w:tcW w:w="1828" w:type="dxa"/>
            <w:vAlign w:val="center"/>
          </w:tcPr>
          <w:p>
            <w:pPr>
              <w:pStyle w:val="16"/>
              <w:ind w:left="0" w:leftChars="0" w:firstLine="0" w:firstLineChars="0"/>
              <w:jc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highlight w:val="none"/>
                <w:lang w:val="en-US" w:eastAsia="zh-CN"/>
              </w:rPr>
              <w:t>3888</w:t>
            </w:r>
            <w:r>
              <w:rPr>
                <w:rFonts w:hint="default" w:ascii="Times New Roman" w:hAnsi="Times New Roman" w:cs="Times New Roman"/>
                <w:color w:val="auto"/>
                <w:sz w:val="21"/>
                <w:szCs w:val="21"/>
                <w:highlight w:val="none"/>
                <w:lang w:val="en-US" w:eastAsia="zh-CN"/>
              </w:rPr>
              <w:t>t/a</w:t>
            </w:r>
          </w:p>
        </w:tc>
        <w:tc>
          <w:tcPr>
            <w:tcW w:w="1337" w:type="dxa"/>
            <w:vAlign w:val="center"/>
          </w:tcPr>
          <w:p>
            <w:pPr>
              <w:widowControl/>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color w:val="auto"/>
                <w:kern w:val="0"/>
                <w:szCs w:val="21"/>
                <w:highlight w:val="none"/>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1" w:type="dxa"/>
            <w:vMerge w:val="continue"/>
            <w:vAlign w:val="center"/>
          </w:tcPr>
          <w:p>
            <w:pPr>
              <w:spacing w:beforeLines="0" w:afterLines="0" w:line="240" w:lineRule="auto"/>
              <w:jc w:val="center"/>
              <w:rPr>
                <w:rFonts w:hint="default" w:ascii="Times New Roman" w:hAnsi="Times New Roman" w:cs="Times New Roman"/>
                <w:snapToGrid w:val="0"/>
                <w:color w:val="auto"/>
                <w:kern w:val="21"/>
                <w:szCs w:val="21"/>
                <w:highlight w:val="none"/>
              </w:rPr>
            </w:pPr>
          </w:p>
        </w:tc>
        <w:tc>
          <w:tcPr>
            <w:tcW w:w="2155" w:type="dxa"/>
            <w:vAlign w:val="center"/>
          </w:tcPr>
          <w:p>
            <w:pPr>
              <w:pStyle w:val="16"/>
              <w:ind w:left="0" w:leftChars="0" w:firstLine="0" w:firstLineChars="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highlight w:val="none"/>
              </w:rPr>
              <w:t>CODcr</w:t>
            </w:r>
          </w:p>
        </w:tc>
        <w:tc>
          <w:tcPr>
            <w:tcW w:w="1360" w:type="dxa"/>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2"/>
                <w:sz w:val="21"/>
                <w:szCs w:val="21"/>
                <w:highlight w:val="none"/>
              </w:rPr>
              <w:t>1.56</w:t>
            </w:r>
            <w:r>
              <w:rPr>
                <w:rFonts w:hint="default" w:ascii="Times New Roman" w:hAnsi="Times New Roman" w:cs="Times New Roman"/>
                <w:color w:val="auto"/>
                <w:sz w:val="21"/>
                <w:szCs w:val="21"/>
                <w:highlight w:val="none"/>
                <w:lang w:val="en-US" w:eastAsia="zh-CN"/>
              </w:rPr>
              <w:t>t/a</w:t>
            </w:r>
          </w:p>
        </w:tc>
        <w:tc>
          <w:tcPr>
            <w:tcW w:w="1276"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1491"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596" w:type="dxa"/>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0</w:t>
            </w:r>
          </w:p>
        </w:tc>
        <w:tc>
          <w:tcPr>
            <w:tcW w:w="1554" w:type="dxa"/>
            <w:vAlign w:val="center"/>
          </w:tcPr>
          <w:p>
            <w:pPr>
              <w:widowControl/>
              <w:jc w:val="center"/>
              <w:textAlignment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0"/>
                <w:szCs w:val="21"/>
                <w:highlight w:val="none"/>
                <w:lang w:bidi="ar"/>
              </w:rPr>
              <w:t>0</w:t>
            </w:r>
          </w:p>
        </w:tc>
        <w:tc>
          <w:tcPr>
            <w:tcW w:w="1828" w:type="dxa"/>
            <w:vAlign w:val="center"/>
          </w:tcPr>
          <w:p>
            <w:pPr>
              <w:jc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2"/>
                <w:sz w:val="21"/>
                <w:szCs w:val="21"/>
                <w:highlight w:val="none"/>
              </w:rPr>
              <w:t>1.56</w:t>
            </w:r>
            <w:r>
              <w:rPr>
                <w:rFonts w:hint="default" w:ascii="Times New Roman" w:hAnsi="Times New Roman" w:cs="Times New Roman"/>
                <w:color w:val="auto"/>
                <w:sz w:val="21"/>
                <w:szCs w:val="21"/>
                <w:highlight w:val="none"/>
                <w:lang w:val="en-US" w:eastAsia="zh-CN"/>
              </w:rPr>
              <w:t>t/a</w:t>
            </w:r>
          </w:p>
        </w:tc>
        <w:tc>
          <w:tcPr>
            <w:tcW w:w="1337" w:type="dxa"/>
            <w:vAlign w:val="center"/>
          </w:tcPr>
          <w:p>
            <w:pPr>
              <w:widowControl/>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color w:val="auto"/>
                <w:kern w:val="0"/>
                <w:szCs w:val="21"/>
                <w:highlight w:val="none"/>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1" w:type="dxa"/>
            <w:vMerge w:val="continue"/>
            <w:vAlign w:val="center"/>
          </w:tcPr>
          <w:p>
            <w:pPr>
              <w:spacing w:beforeLines="0" w:afterLines="0" w:line="240" w:lineRule="auto"/>
              <w:jc w:val="center"/>
              <w:rPr>
                <w:rFonts w:hint="default" w:ascii="Times New Roman" w:hAnsi="Times New Roman" w:cs="Times New Roman"/>
                <w:snapToGrid w:val="0"/>
                <w:color w:val="auto"/>
                <w:kern w:val="21"/>
                <w:szCs w:val="21"/>
                <w:highlight w:val="none"/>
              </w:rPr>
            </w:pPr>
          </w:p>
        </w:tc>
        <w:tc>
          <w:tcPr>
            <w:tcW w:w="2155" w:type="dxa"/>
            <w:vAlign w:val="center"/>
          </w:tcPr>
          <w:p>
            <w:pPr>
              <w:pStyle w:val="16"/>
              <w:ind w:left="0" w:leftChars="0" w:firstLine="0" w:firstLineChars="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w:t>
            </w:r>
          </w:p>
        </w:tc>
        <w:tc>
          <w:tcPr>
            <w:tcW w:w="1360" w:type="dxa"/>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2"/>
                <w:sz w:val="21"/>
                <w:szCs w:val="21"/>
                <w:highlight w:val="none"/>
              </w:rPr>
              <w:t>0.97</w:t>
            </w:r>
            <w:r>
              <w:rPr>
                <w:rFonts w:hint="default" w:ascii="Times New Roman" w:hAnsi="Times New Roman" w:cs="Times New Roman"/>
                <w:color w:val="auto"/>
                <w:sz w:val="21"/>
                <w:szCs w:val="21"/>
                <w:highlight w:val="none"/>
                <w:lang w:val="en-US" w:eastAsia="zh-CN"/>
              </w:rPr>
              <w:t>t/a</w:t>
            </w:r>
          </w:p>
        </w:tc>
        <w:tc>
          <w:tcPr>
            <w:tcW w:w="1276"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1491"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596" w:type="dxa"/>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0</w:t>
            </w:r>
          </w:p>
        </w:tc>
        <w:tc>
          <w:tcPr>
            <w:tcW w:w="1554" w:type="dxa"/>
            <w:vAlign w:val="center"/>
          </w:tcPr>
          <w:p>
            <w:pPr>
              <w:widowControl/>
              <w:jc w:val="center"/>
              <w:textAlignment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0"/>
                <w:szCs w:val="21"/>
                <w:highlight w:val="none"/>
                <w:lang w:bidi="ar"/>
              </w:rPr>
              <w:t>0</w:t>
            </w:r>
          </w:p>
        </w:tc>
        <w:tc>
          <w:tcPr>
            <w:tcW w:w="1828" w:type="dxa"/>
            <w:vAlign w:val="center"/>
          </w:tcPr>
          <w:p>
            <w:pPr>
              <w:jc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2"/>
                <w:sz w:val="21"/>
                <w:szCs w:val="21"/>
                <w:highlight w:val="none"/>
              </w:rPr>
              <w:t>0.97</w:t>
            </w:r>
            <w:r>
              <w:rPr>
                <w:rFonts w:hint="default" w:ascii="Times New Roman" w:hAnsi="Times New Roman" w:cs="Times New Roman"/>
                <w:color w:val="auto"/>
                <w:sz w:val="21"/>
                <w:szCs w:val="21"/>
                <w:highlight w:val="none"/>
                <w:lang w:val="en-US" w:eastAsia="zh-CN"/>
              </w:rPr>
              <w:t>t/a</w:t>
            </w:r>
          </w:p>
        </w:tc>
        <w:tc>
          <w:tcPr>
            <w:tcW w:w="1337" w:type="dxa"/>
            <w:vAlign w:val="center"/>
          </w:tcPr>
          <w:p>
            <w:pPr>
              <w:widowControl/>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color w:val="auto"/>
                <w:kern w:val="0"/>
                <w:szCs w:val="21"/>
                <w:highlight w:val="none"/>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1" w:type="dxa"/>
            <w:vMerge w:val="continue"/>
            <w:vAlign w:val="center"/>
          </w:tcPr>
          <w:p>
            <w:pPr>
              <w:spacing w:beforeLines="0" w:afterLines="0" w:line="240" w:lineRule="auto"/>
              <w:jc w:val="center"/>
              <w:rPr>
                <w:rFonts w:hint="default" w:ascii="Times New Roman" w:hAnsi="Times New Roman" w:cs="Times New Roman"/>
                <w:snapToGrid w:val="0"/>
                <w:color w:val="auto"/>
                <w:kern w:val="21"/>
                <w:szCs w:val="21"/>
                <w:highlight w:val="none"/>
              </w:rPr>
            </w:pPr>
          </w:p>
        </w:tc>
        <w:tc>
          <w:tcPr>
            <w:tcW w:w="2155" w:type="dxa"/>
            <w:vAlign w:val="center"/>
          </w:tcPr>
          <w:p>
            <w:pPr>
              <w:pStyle w:val="16"/>
              <w:ind w:left="0" w:leftChars="0" w:firstLine="0" w:firstLineChars="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highlight w:val="none"/>
              </w:rPr>
              <w:t>SS</w:t>
            </w:r>
          </w:p>
        </w:tc>
        <w:tc>
          <w:tcPr>
            <w:tcW w:w="1360" w:type="dxa"/>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2"/>
                <w:sz w:val="21"/>
                <w:szCs w:val="21"/>
                <w:highlight w:val="none"/>
              </w:rPr>
              <w:t>0.136</w:t>
            </w:r>
            <w:r>
              <w:rPr>
                <w:rFonts w:hint="default" w:ascii="Times New Roman" w:hAnsi="Times New Roman" w:cs="Times New Roman"/>
                <w:color w:val="auto"/>
                <w:sz w:val="21"/>
                <w:szCs w:val="21"/>
                <w:highlight w:val="none"/>
                <w:lang w:val="en-US" w:eastAsia="zh-CN"/>
              </w:rPr>
              <w:t>t/a</w:t>
            </w:r>
          </w:p>
        </w:tc>
        <w:tc>
          <w:tcPr>
            <w:tcW w:w="1276"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1491"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596" w:type="dxa"/>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0</w:t>
            </w:r>
          </w:p>
        </w:tc>
        <w:tc>
          <w:tcPr>
            <w:tcW w:w="1554" w:type="dxa"/>
            <w:vAlign w:val="center"/>
          </w:tcPr>
          <w:p>
            <w:pPr>
              <w:widowControl/>
              <w:jc w:val="center"/>
              <w:textAlignment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0"/>
                <w:szCs w:val="21"/>
                <w:highlight w:val="none"/>
                <w:lang w:bidi="ar"/>
              </w:rPr>
              <w:t>0</w:t>
            </w:r>
          </w:p>
        </w:tc>
        <w:tc>
          <w:tcPr>
            <w:tcW w:w="1828" w:type="dxa"/>
            <w:vAlign w:val="center"/>
          </w:tcPr>
          <w:p>
            <w:pPr>
              <w:jc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2"/>
                <w:sz w:val="21"/>
                <w:szCs w:val="21"/>
                <w:highlight w:val="none"/>
              </w:rPr>
              <w:t>0.136</w:t>
            </w:r>
            <w:r>
              <w:rPr>
                <w:rFonts w:hint="default" w:ascii="Times New Roman" w:hAnsi="Times New Roman" w:cs="Times New Roman"/>
                <w:color w:val="auto"/>
                <w:sz w:val="21"/>
                <w:szCs w:val="21"/>
                <w:highlight w:val="none"/>
                <w:lang w:val="en-US" w:eastAsia="zh-CN"/>
              </w:rPr>
              <w:t>t/a</w:t>
            </w:r>
          </w:p>
        </w:tc>
        <w:tc>
          <w:tcPr>
            <w:tcW w:w="1337" w:type="dxa"/>
            <w:vAlign w:val="center"/>
          </w:tcPr>
          <w:p>
            <w:pPr>
              <w:widowControl/>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color w:val="auto"/>
                <w:kern w:val="0"/>
                <w:szCs w:val="21"/>
                <w:highlight w:val="none"/>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1" w:type="dxa"/>
            <w:vMerge w:val="restart"/>
            <w:vAlign w:val="center"/>
          </w:tcPr>
          <w:p>
            <w:pPr>
              <w:spacing w:beforeLines="0" w:afterLines="0" w:line="240" w:lineRule="auto"/>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一般工业固体废物</w:t>
            </w:r>
          </w:p>
        </w:tc>
        <w:tc>
          <w:tcPr>
            <w:tcW w:w="2155" w:type="dxa"/>
            <w:vAlign w:val="center"/>
          </w:tcPr>
          <w:p>
            <w:pPr>
              <w:adjustRightInd w:val="0"/>
              <w:snapToGrid w:val="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2"/>
                <w:sz w:val="21"/>
                <w:szCs w:val="21"/>
                <w:highlight w:val="none"/>
              </w:rPr>
              <w:t>皮革边角料</w:t>
            </w:r>
          </w:p>
        </w:tc>
        <w:tc>
          <w:tcPr>
            <w:tcW w:w="1360" w:type="dxa"/>
            <w:vAlign w:val="center"/>
          </w:tcPr>
          <w:p>
            <w:pPr>
              <w:adjustRightInd w:val="0"/>
              <w:snapToGrid w:val="0"/>
              <w:jc w:val="center"/>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color w:val="auto"/>
                <w:kern w:val="2"/>
                <w:sz w:val="21"/>
                <w:szCs w:val="21"/>
                <w:highlight w:val="none"/>
              </w:rPr>
              <w:t>25</w:t>
            </w:r>
            <w:r>
              <w:rPr>
                <w:rFonts w:hint="default" w:ascii="Times New Roman" w:hAnsi="Times New Roman" w:cs="Times New Roman"/>
                <w:color w:val="auto"/>
                <w:kern w:val="2"/>
                <w:sz w:val="21"/>
                <w:szCs w:val="21"/>
                <w:highlight w:val="none"/>
                <w:lang w:val="en-US" w:eastAsia="zh-CN"/>
              </w:rPr>
              <w:t>t/a</w:t>
            </w:r>
          </w:p>
        </w:tc>
        <w:tc>
          <w:tcPr>
            <w:tcW w:w="1276"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1491"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596" w:type="dxa"/>
            <w:vAlign w:val="center"/>
          </w:tcPr>
          <w:p>
            <w:pPr>
              <w:widowControl/>
              <w:jc w:val="center"/>
              <w:textAlignment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0"/>
                <w:szCs w:val="21"/>
                <w:highlight w:val="none"/>
                <w:lang w:bidi="ar"/>
              </w:rPr>
              <w:t>0</w:t>
            </w:r>
          </w:p>
        </w:tc>
        <w:tc>
          <w:tcPr>
            <w:tcW w:w="1554"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828" w:type="dxa"/>
            <w:vAlign w:val="center"/>
          </w:tcPr>
          <w:p>
            <w:pPr>
              <w:adjustRightInd w:val="0"/>
              <w:snapToGrid w:val="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2"/>
                <w:sz w:val="21"/>
                <w:szCs w:val="21"/>
                <w:highlight w:val="none"/>
              </w:rPr>
              <w:t>25</w:t>
            </w:r>
            <w:r>
              <w:rPr>
                <w:rFonts w:hint="default" w:ascii="Times New Roman" w:hAnsi="Times New Roman" w:cs="Times New Roman"/>
                <w:color w:val="auto"/>
                <w:kern w:val="2"/>
                <w:sz w:val="21"/>
                <w:szCs w:val="21"/>
                <w:highlight w:val="none"/>
                <w:lang w:val="en-US" w:eastAsia="zh-CN"/>
              </w:rPr>
              <w:t>t/a</w:t>
            </w:r>
          </w:p>
        </w:tc>
        <w:tc>
          <w:tcPr>
            <w:tcW w:w="1337" w:type="dxa"/>
            <w:vAlign w:val="center"/>
          </w:tcPr>
          <w:p>
            <w:pPr>
              <w:widowControl/>
              <w:jc w:val="center"/>
              <w:textAlignment w:val="bottom"/>
              <w:rPr>
                <w:rFonts w:hint="default" w:ascii="Times New Roman" w:hAnsi="Times New Roman" w:cs="Times New Roman"/>
                <w:color w:val="auto"/>
                <w:kern w:val="0"/>
                <w:szCs w:val="21"/>
                <w:highlight w:val="none"/>
                <w:lang w:bidi="ar"/>
              </w:rPr>
            </w:pPr>
            <w:r>
              <w:rPr>
                <w:rFonts w:hint="default" w:ascii="Times New Roman" w:hAnsi="Times New Roman" w:cs="Times New Roman"/>
                <w:snapToGrid w:val="0"/>
                <w:color w:val="auto"/>
                <w:kern w:val="21"/>
                <w:szCs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1" w:type="dxa"/>
            <w:vMerge w:val="continue"/>
            <w:vAlign w:val="center"/>
          </w:tcPr>
          <w:p>
            <w:pPr>
              <w:spacing w:beforeLines="0" w:afterLines="0" w:line="240" w:lineRule="auto"/>
              <w:jc w:val="center"/>
              <w:rPr>
                <w:rFonts w:hint="default" w:ascii="Times New Roman" w:hAnsi="Times New Roman" w:cs="Times New Roman"/>
                <w:snapToGrid w:val="0"/>
                <w:color w:val="auto"/>
                <w:kern w:val="21"/>
                <w:szCs w:val="21"/>
                <w:highlight w:val="none"/>
              </w:rPr>
            </w:pPr>
          </w:p>
        </w:tc>
        <w:tc>
          <w:tcPr>
            <w:tcW w:w="2155" w:type="dxa"/>
            <w:vAlign w:val="center"/>
          </w:tcPr>
          <w:p>
            <w:pPr>
              <w:adjustRightInd w:val="0"/>
              <w:snapToGrid w:val="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2"/>
                <w:sz w:val="21"/>
                <w:szCs w:val="21"/>
                <w:highlight w:val="none"/>
              </w:rPr>
              <w:t>废包装材料</w:t>
            </w:r>
          </w:p>
        </w:tc>
        <w:tc>
          <w:tcPr>
            <w:tcW w:w="1360" w:type="dxa"/>
            <w:vAlign w:val="center"/>
          </w:tcPr>
          <w:p>
            <w:pPr>
              <w:adjustRightInd w:val="0"/>
              <w:snapToGrid w:val="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2"/>
                <w:sz w:val="21"/>
                <w:szCs w:val="21"/>
                <w:highlight w:val="none"/>
              </w:rPr>
              <w:t>2</w:t>
            </w:r>
            <w:r>
              <w:rPr>
                <w:rFonts w:hint="default" w:ascii="Times New Roman" w:hAnsi="Times New Roman" w:cs="Times New Roman"/>
                <w:color w:val="auto"/>
                <w:kern w:val="2"/>
                <w:sz w:val="21"/>
                <w:szCs w:val="21"/>
                <w:highlight w:val="none"/>
                <w:lang w:val="en-US" w:eastAsia="zh-CN"/>
              </w:rPr>
              <w:t>t/a</w:t>
            </w:r>
          </w:p>
        </w:tc>
        <w:tc>
          <w:tcPr>
            <w:tcW w:w="1276"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1491"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596" w:type="dxa"/>
            <w:vAlign w:val="center"/>
          </w:tcPr>
          <w:p>
            <w:pPr>
              <w:widowControl/>
              <w:jc w:val="center"/>
              <w:textAlignment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0"/>
                <w:szCs w:val="21"/>
                <w:highlight w:val="none"/>
                <w:lang w:bidi="ar"/>
              </w:rPr>
              <w:t>0</w:t>
            </w:r>
          </w:p>
        </w:tc>
        <w:tc>
          <w:tcPr>
            <w:tcW w:w="1554"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828" w:type="dxa"/>
            <w:vAlign w:val="center"/>
          </w:tcPr>
          <w:p>
            <w:pPr>
              <w:adjustRightInd w:val="0"/>
              <w:snapToGrid w:val="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2"/>
                <w:sz w:val="21"/>
                <w:szCs w:val="21"/>
                <w:highlight w:val="none"/>
              </w:rPr>
              <w:t>2</w:t>
            </w:r>
            <w:r>
              <w:rPr>
                <w:rFonts w:hint="default" w:ascii="Times New Roman" w:hAnsi="Times New Roman" w:cs="Times New Roman"/>
                <w:color w:val="auto"/>
                <w:kern w:val="2"/>
                <w:sz w:val="21"/>
                <w:szCs w:val="21"/>
                <w:highlight w:val="none"/>
                <w:lang w:val="en-US" w:eastAsia="zh-CN"/>
              </w:rPr>
              <w:t>t/a</w:t>
            </w:r>
          </w:p>
        </w:tc>
        <w:tc>
          <w:tcPr>
            <w:tcW w:w="1337" w:type="dxa"/>
            <w:vAlign w:val="center"/>
          </w:tcPr>
          <w:p>
            <w:pPr>
              <w:widowControl/>
              <w:jc w:val="center"/>
              <w:textAlignment w:val="bottom"/>
              <w:rPr>
                <w:rFonts w:hint="default" w:ascii="Times New Roman" w:hAnsi="Times New Roman" w:cs="Times New Roman"/>
                <w:color w:val="auto"/>
                <w:kern w:val="0"/>
                <w:szCs w:val="21"/>
                <w:highlight w:val="none"/>
                <w:lang w:bidi="ar"/>
              </w:rPr>
            </w:pPr>
            <w:r>
              <w:rPr>
                <w:rFonts w:hint="default" w:ascii="Times New Roman" w:hAnsi="Times New Roman" w:cs="Times New Roman"/>
                <w:snapToGrid w:val="0"/>
                <w:color w:val="auto"/>
                <w:kern w:val="21"/>
                <w:szCs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1" w:type="dxa"/>
            <w:vMerge w:val="restart"/>
            <w:vAlign w:val="center"/>
          </w:tcPr>
          <w:p>
            <w:pPr>
              <w:spacing w:beforeLines="0" w:afterLines="0" w:line="240" w:lineRule="auto"/>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危险</w:t>
            </w:r>
          </w:p>
          <w:p>
            <w:pPr>
              <w:spacing w:beforeLines="0" w:afterLines="0" w:line="240" w:lineRule="auto"/>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废物</w:t>
            </w:r>
          </w:p>
        </w:tc>
        <w:tc>
          <w:tcPr>
            <w:tcW w:w="2155" w:type="dxa"/>
            <w:vAlign w:val="center"/>
          </w:tcPr>
          <w:p>
            <w:pPr>
              <w:adjustRightInd w:val="0"/>
              <w:snapToGrid w:val="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2"/>
                <w:sz w:val="21"/>
                <w:szCs w:val="21"/>
                <w:highlight w:val="none"/>
              </w:rPr>
              <w:t>擦拭布等废弃沾染物</w:t>
            </w:r>
          </w:p>
        </w:tc>
        <w:tc>
          <w:tcPr>
            <w:tcW w:w="1360" w:type="dxa"/>
            <w:vAlign w:val="center"/>
          </w:tcPr>
          <w:p>
            <w:pPr>
              <w:adjustRightInd w:val="0"/>
              <w:snapToGrid w:val="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2"/>
                <w:sz w:val="21"/>
                <w:szCs w:val="21"/>
                <w:highlight w:val="none"/>
              </w:rPr>
              <w:t>0.5</w:t>
            </w:r>
            <w:r>
              <w:rPr>
                <w:rFonts w:hint="default" w:ascii="Times New Roman" w:hAnsi="Times New Roman" w:cs="Times New Roman"/>
                <w:color w:val="auto"/>
                <w:kern w:val="2"/>
                <w:sz w:val="21"/>
                <w:szCs w:val="21"/>
                <w:highlight w:val="none"/>
                <w:lang w:val="en-US" w:eastAsia="zh-CN"/>
              </w:rPr>
              <w:t>t/a</w:t>
            </w:r>
          </w:p>
        </w:tc>
        <w:tc>
          <w:tcPr>
            <w:tcW w:w="1276"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1491"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596" w:type="dxa"/>
            <w:vAlign w:val="center"/>
          </w:tcPr>
          <w:p>
            <w:pPr>
              <w:widowControl/>
              <w:jc w:val="center"/>
              <w:textAlignment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0"/>
                <w:szCs w:val="21"/>
                <w:highlight w:val="none"/>
                <w:lang w:bidi="ar"/>
              </w:rPr>
              <w:t>0</w:t>
            </w:r>
          </w:p>
        </w:tc>
        <w:tc>
          <w:tcPr>
            <w:tcW w:w="1554"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828" w:type="dxa"/>
            <w:vAlign w:val="center"/>
          </w:tcPr>
          <w:p>
            <w:pPr>
              <w:adjustRightInd w:val="0"/>
              <w:snapToGrid w:val="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2"/>
                <w:sz w:val="21"/>
                <w:szCs w:val="21"/>
                <w:highlight w:val="none"/>
              </w:rPr>
              <w:t>0.5</w:t>
            </w:r>
            <w:r>
              <w:rPr>
                <w:rFonts w:hint="default" w:ascii="Times New Roman" w:hAnsi="Times New Roman" w:cs="Times New Roman"/>
                <w:color w:val="auto"/>
                <w:kern w:val="2"/>
                <w:sz w:val="21"/>
                <w:szCs w:val="21"/>
                <w:highlight w:val="none"/>
                <w:lang w:val="en-US" w:eastAsia="zh-CN"/>
              </w:rPr>
              <w:t>t/a</w:t>
            </w:r>
          </w:p>
        </w:tc>
        <w:tc>
          <w:tcPr>
            <w:tcW w:w="1337"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1" w:type="dxa"/>
            <w:vMerge w:val="continue"/>
            <w:vAlign w:val="center"/>
          </w:tcPr>
          <w:p>
            <w:pPr>
              <w:spacing w:beforeLines="0" w:afterLines="0" w:line="240" w:lineRule="auto"/>
              <w:jc w:val="center"/>
              <w:rPr>
                <w:rFonts w:hint="default" w:ascii="Times New Roman" w:hAnsi="Times New Roman" w:cs="Times New Roman"/>
                <w:snapToGrid w:val="0"/>
                <w:color w:val="auto"/>
                <w:kern w:val="21"/>
                <w:szCs w:val="21"/>
                <w:highlight w:val="none"/>
              </w:rPr>
            </w:pPr>
          </w:p>
        </w:tc>
        <w:tc>
          <w:tcPr>
            <w:tcW w:w="2155" w:type="dxa"/>
            <w:vAlign w:val="center"/>
          </w:tcPr>
          <w:p>
            <w:pPr>
              <w:adjustRightInd w:val="0"/>
              <w:snapToGrid w:val="0"/>
              <w:jc w:val="center"/>
              <w:rPr>
                <w:rFonts w:hint="default" w:ascii="Times New Roman" w:hAnsi="Times New Roman" w:cs="Times New Roman"/>
                <w:color w:val="auto"/>
                <w:kern w:val="0"/>
                <w:sz w:val="22"/>
                <w:szCs w:val="22"/>
                <w:highlight w:val="none"/>
                <w:lang w:bidi="ar"/>
              </w:rPr>
            </w:pPr>
            <w:r>
              <w:rPr>
                <w:rFonts w:hint="default" w:ascii="Times New Roman" w:hAnsi="Times New Roman" w:cs="Times New Roman"/>
                <w:color w:val="auto"/>
                <w:kern w:val="2"/>
                <w:sz w:val="21"/>
                <w:szCs w:val="21"/>
                <w:highlight w:val="none"/>
              </w:rPr>
              <w:t>洗</w:t>
            </w:r>
            <w:r>
              <w:rPr>
                <w:rFonts w:hint="default" w:ascii="Times New Roman" w:hAnsi="Times New Roman" w:cs="Times New Roman"/>
                <w:color w:val="auto"/>
                <w:kern w:val="2"/>
                <w:sz w:val="21"/>
                <w:szCs w:val="21"/>
                <w:highlight w:val="none"/>
                <w:lang w:val="en-US" w:eastAsia="zh-CN"/>
              </w:rPr>
              <w:t>桶</w:t>
            </w:r>
            <w:r>
              <w:rPr>
                <w:rFonts w:hint="default" w:ascii="Times New Roman" w:hAnsi="Times New Roman" w:cs="Times New Roman"/>
                <w:color w:val="auto"/>
                <w:kern w:val="2"/>
                <w:sz w:val="21"/>
                <w:szCs w:val="21"/>
                <w:highlight w:val="none"/>
              </w:rPr>
              <w:t>残渣</w:t>
            </w:r>
          </w:p>
        </w:tc>
        <w:tc>
          <w:tcPr>
            <w:tcW w:w="1360" w:type="dxa"/>
            <w:vAlign w:val="center"/>
          </w:tcPr>
          <w:p>
            <w:pPr>
              <w:adjustRightInd w:val="0"/>
              <w:snapToGrid w:val="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2"/>
                <w:sz w:val="21"/>
                <w:szCs w:val="21"/>
                <w:highlight w:val="none"/>
              </w:rPr>
              <w:t>0.2</w:t>
            </w:r>
            <w:r>
              <w:rPr>
                <w:rFonts w:hint="default" w:ascii="Times New Roman" w:hAnsi="Times New Roman" w:cs="Times New Roman"/>
                <w:color w:val="auto"/>
                <w:kern w:val="2"/>
                <w:sz w:val="21"/>
                <w:szCs w:val="21"/>
                <w:highlight w:val="none"/>
                <w:lang w:val="en-US" w:eastAsia="zh-CN"/>
              </w:rPr>
              <w:t>t/a</w:t>
            </w:r>
          </w:p>
        </w:tc>
        <w:tc>
          <w:tcPr>
            <w:tcW w:w="1276"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1491"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596" w:type="dxa"/>
            <w:vAlign w:val="center"/>
          </w:tcPr>
          <w:p>
            <w:pPr>
              <w:widowControl/>
              <w:jc w:val="center"/>
              <w:textAlignment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0"/>
                <w:szCs w:val="21"/>
                <w:highlight w:val="none"/>
                <w:lang w:bidi="ar"/>
              </w:rPr>
              <w:t>0</w:t>
            </w:r>
          </w:p>
        </w:tc>
        <w:tc>
          <w:tcPr>
            <w:tcW w:w="1554"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828" w:type="dxa"/>
            <w:vAlign w:val="center"/>
          </w:tcPr>
          <w:p>
            <w:pPr>
              <w:adjustRightInd w:val="0"/>
              <w:snapToGrid w:val="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2"/>
                <w:sz w:val="21"/>
                <w:szCs w:val="21"/>
                <w:highlight w:val="none"/>
              </w:rPr>
              <w:t>0.2</w:t>
            </w:r>
            <w:r>
              <w:rPr>
                <w:rFonts w:hint="default" w:ascii="Times New Roman" w:hAnsi="Times New Roman" w:cs="Times New Roman"/>
                <w:color w:val="auto"/>
                <w:kern w:val="2"/>
                <w:sz w:val="21"/>
                <w:szCs w:val="21"/>
                <w:highlight w:val="none"/>
                <w:lang w:val="en-US" w:eastAsia="zh-CN"/>
              </w:rPr>
              <w:t>t/a</w:t>
            </w:r>
          </w:p>
        </w:tc>
        <w:tc>
          <w:tcPr>
            <w:tcW w:w="1337"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1" w:type="dxa"/>
            <w:vMerge w:val="continue"/>
            <w:vAlign w:val="center"/>
          </w:tcPr>
          <w:p>
            <w:pPr>
              <w:spacing w:beforeLines="0" w:afterLines="0" w:line="240" w:lineRule="auto"/>
              <w:jc w:val="center"/>
              <w:rPr>
                <w:rFonts w:hint="default" w:ascii="Times New Roman" w:hAnsi="Times New Roman" w:cs="Times New Roman"/>
                <w:snapToGrid w:val="0"/>
                <w:color w:val="auto"/>
                <w:kern w:val="21"/>
                <w:szCs w:val="21"/>
                <w:highlight w:val="none"/>
              </w:rPr>
            </w:pPr>
          </w:p>
        </w:tc>
        <w:tc>
          <w:tcPr>
            <w:tcW w:w="2155" w:type="dxa"/>
            <w:vAlign w:val="center"/>
          </w:tcPr>
          <w:p>
            <w:pPr>
              <w:adjustRightInd w:val="0"/>
              <w:snapToGrid w:val="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2"/>
                <w:sz w:val="21"/>
                <w:szCs w:val="21"/>
                <w:highlight w:val="none"/>
              </w:rPr>
              <w:t>化学品废包装容器</w:t>
            </w:r>
          </w:p>
        </w:tc>
        <w:tc>
          <w:tcPr>
            <w:tcW w:w="1360" w:type="dxa"/>
            <w:vAlign w:val="center"/>
          </w:tcPr>
          <w:p>
            <w:pPr>
              <w:adjustRightInd w:val="0"/>
              <w:snapToGrid w:val="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2"/>
                <w:sz w:val="21"/>
                <w:szCs w:val="21"/>
                <w:highlight w:val="none"/>
              </w:rPr>
              <w:t>1</w:t>
            </w:r>
            <w:r>
              <w:rPr>
                <w:rFonts w:hint="default" w:ascii="Times New Roman" w:hAnsi="Times New Roman" w:cs="Times New Roman"/>
                <w:color w:val="auto"/>
                <w:kern w:val="2"/>
                <w:sz w:val="21"/>
                <w:szCs w:val="21"/>
                <w:highlight w:val="none"/>
                <w:lang w:val="en-US" w:eastAsia="zh-CN"/>
              </w:rPr>
              <w:t>t/a</w:t>
            </w:r>
          </w:p>
        </w:tc>
        <w:tc>
          <w:tcPr>
            <w:tcW w:w="1276"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1491"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596" w:type="dxa"/>
            <w:vAlign w:val="center"/>
          </w:tcPr>
          <w:p>
            <w:pPr>
              <w:widowControl/>
              <w:jc w:val="center"/>
              <w:textAlignment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0"/>
                <w:szCs w:val="21"/>
                <w:highlight w:val="none"/>
                <w:lang w:bidi="ar"/>
              </w:rPr>
              <w:t>0</w:t>
            </w:r>
          </w:p>
        </w:tc>
        <w:tc>
          <w:tcPr>
            <w:tcW w:w="1554"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828" w:type="dxa"/>
            <w:vAlign w:val="center"/>
          </w:tcPr>
          <w:p>
            <w:pPr>
              <w:adjustRightInd w:val="0"/>
              <w:snapToGrid w:val="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2"/>
                <w:sz w:val="21"/>
                <w:szCs w:val="21"/>
                <w:highlight w:val="none"/>
              </w:rPr>
              <w:t>1</w:t>
            </w:r>
            <w:r>
              <w:rPr>
                <w:rFonts w:hint="default" w:ascii="Times New Roman" w:hAnsi="Times New Roman" w:cs="Times New Roman"/>
                <w:color w:val="auto"/>
                <w:kern w:val="2"/>
                <w:sz w:val="21"/>
                <w:szCs w:val="21"/>
                <w:highlight w:val="none"/>
                <w:lang w:val="en-US" w:eastAsia="zh-CN"/>
              </w:rPr>
              <w:t>t/a</w:t>
            </w:r>
          </w:p>
        </w:tc>
        <w:tc>
          <w:tcPr>
            <w:tcW w:w="1337"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1" w:type="dxa"/>
            <w:vMerge w:val="continue"/>
            <w:vAlign w:val="center"/>
          </w:tcPr>
          <w:p>
            <w:pPr>
              <w:spacing w:beforeLines="0" w:afterLines="0" w:line="240" w:lineRule="auto"/>
              <w:jc w:val="center"/>
              <w:rPr>
                <w:rFonts w:hint="default" w:ascii="Times New Roman" w:hAnsi="Times New Roman" w:cs="Times New Roman"/>
                <w:snapToGrid w:val="0"/>
                <w:color w:val="auto"/>
                <w:kern w:val="21"/>
                <w:szCs w:val="21"/>
                <w:highlight w:val="none"/>
              </w:rPr>
            </w:pPr>
          </w:p>
        </w:tc>
        <w:tc>
          <w:tcPr>
            <w:tcW w:w="2155" w:type="dxa"/>
            <w:vAlign w:val="center"/>
          </w:tcPr>
          <w:p>
            <w:pPr>
              <w:adjustRightInd w:val="0"/>
              <w:snapToGrid w:val="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2"/>
                <w:sz w:val="21"/>
                <w:szCs w:val="21"/>
                <w:highlight w:val="none"/>
              </w:rPr>
              <w:t>废机油</w:t>
            </w:r>
          </w:p>
        </w:tc>
        <w:tc>
          <w:tcPr>
            <w:tcW w:w="1360" w:type="dxa"/>
            <w:vAlign w:val="center"/>
          </w:tcPr>
          <w:p>
            <w:pPr>
              <w:adjustRightInd w:val="0"/>
              <w:snapToGrid w:val="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2"/>
                <w:sz w:val="21"/>
                <w:szCs w:val="21"/>
                <w:highlight w:val="none"/>
              </w:rPr>
              <w:t>0.1</w:t>
            </w:r>
            <w:r>
              <w:rPr>
                <w:rFonts w:hint="default" w:ascii="Times New Roman" w:hAnsi="Times New Roman" w:cs="Times New Roman"/>
                <w:color w:val="auto"/>
                <w:kern w:val="2"/>
                <w:sz w:val="21"/>
                <w:szCs w:val="21"/>
                <w:highlight w:val="none"/>
                <w:lang w:val="en-US" w:eastAsia="zh-CN"/>
              </w:rPr>
              <w:t>t/a</w:t>
            </w:r>
          </w:p>
        </w:tc>
        <w:tc>
          <w:tcPr>
            <w:tcW w:w="1276"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1491"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596" w:type="dxa"/>
            <w:vAlign w:val="center"/>
          </w:tcPr>
          <w:p>
            <w:pPr>
              <w:widowControl/>
              <w:jc w:val="center"/>
              <w:textAlignment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0"/>
                <w:szCs w:val="21"/>
                <w:highlight w:val="none"/>
                <w:lang w:val="en-US" w:eastAsia="zh-CN" w:bidi="ar"/>
              </w:rPr>
              <w:t>0.1</w:t>
            </w:r>
            <w:r>
              <w:rPr>
                <w:rFonts w:hint="default" w:ascii="Times New Roman" w:hAnsi="Times New Roman" w:cs="Times New Roman"/>
                <w:color w:val="auto"/>
                <w:kern w:val="2"/>
                <w:sz w:val="21"/>
                <w:szCs w:val="21"/>
                <w:highlight w:val="none"/>
                <w:lang w:val="en-US" w:eastAsia="zh-CN"/>
              </w:rPr>
              <w:t>t/a</w:t>
            </w:r>
          </w:p>
        </w:tc>
        <w:tc>
          <w:tcPr>
            <w:tcW w:w="1554"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828"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0.2</w:t>
            </w:r>
            <w:r>
              <w:rPr>
                <w:rFonts w:hint="default" w:ascii="Times New Roman" w:hAnsi="Times New Roman" w:cs="Times New Roman"/>
                <w:color w:val="auto"/>
                <w:kern w:val="2"/>
                <w:sz w:val="21"/>
                <w:szCs w:val="21"/>
                <w:highlight w:val="none"/>
                <w:lang w:val="en-US" w:eastAsia="zh-CN"/>
              </w:rPr>
              <w:t>t/a</w:t>
            </w:r>
          </w:p>
        </w:tc>
        <w:tc>
          <w:tcPr>
            <w:tcW w:w="1337"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+0.1</w:t>
            </w:r>
            <w:r>
              <w:rPr>
                <w:rFonts w:hint="default" w:ascii="Times New Roman" w:hAnsi="Times New Roman" w:cs="Times New Roman"/>
                <w:color w:val="auto"/>
                <w:kern w:val="2"/>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1" w:type="dxa"/>
            <w:vMerge w:val="continue"/>
            <w:vAlign w:val="center"/>
          </w:tcPr>
          <w:p>
            <w:pPr>
              <w:spacing w:beforeLines="0" w:afterLines="0" w:line="240" w:lineRule="auto"/>
              <w:jc w:val="center"/>
              <w:rPr>
                <w:rFonts w:hint="default" w:ascii="Times New Roman" w:hAnsi="Times New Roman" w:cs="Times New Roman"/>
                <w:snapToGrid w:val="0"/>
                <w:color w:val="auto"/>
                <w:kern w:val="21"/>
                <w:szCs w:val="21"/>
                <w:highlight w:val="none"/>
              </w:rPr>
            </w:pPr>
          </w:p>
        </w:tc>
        <w:tc>
          <w:tcPr>
            <w:tcW w:w="2155" w:type="dxa"/>
            <w:vAlign w:val="center"/>
          </w:tcPr>
          <w:p>
            <w:pPr>
              <w:adjustRightInd w:val="0"/>
              <w:snapToGrid w:val="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2"/>
                <w:sz w:val="21"/>
                <w:szCs w:val="21"/>
                <w:highlight w:val="none"/>
                <w:lang w:val="en-US" w:eastAsia="zh-CN"/>
              </w:rPr>
              <w:t>精馏残渣</w:t>
            </w:r>
          </w:p>
        </w:tc>
        <w:tc>
          <w:tcPr>
            <w:tcW w:w="1360" w:type="dxa"/>
            <w:vAlign w:val="center"/>
          </w:tcPr>
          <w:p>
            <w:pPr>
              <w:adjustRightInd w:val="0"/>
              <w:snapToGrid w:val="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2"/>
                <w:sz w:val="21"/>
                <w:szCs w:val="21"/>
                <w:highlight w:val="none"/>
                <w:lang w:val="en-US" w:eastAsia="zh-CN"/>
              </w:rPr>
              <w:t>0t/a</w:t>
            </w:r>
          </w:p>
        </w:tc>
        <w:tc>
          <w:tcPr>
            <w:tcW w:w="1276" w:type="dxa"/>
            <w:vAlign w:val="center"/>
          </w:tcPr>
          <w:p>
            <w:pPr>
              <w:widowControl/>
              <w:jc w:val="center"/>
              <w:textAlignment w:val="bottom"/>
              <w:rPr>
                <w:rFonts w:hint="default" w:ascii="Times New Roman" w:hAnsi="Times New Roman" w:cs="Times New Roman"/>
                <w:snapToGrid w:val="0"/>
                <w:color w:val="auto"/>
                <w:kern w:val="21"/>
                <w:szCs w:val="21"/>
                <w:highlight w:val="none"/>
              </w:rPr>
            </w:pPr>
          </w:p>
        </w:tc>
        <w:tc>
          <w:tcPr>
            <w:tcW w:w="1491"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0</w:t>
            </w:r>
          </w:p>
        </w:tc>
        <w:tc>
          <w:tcPr>
            <w:tcW w:w="1596"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50</w:t>
            </w:r>
            <w:r>
              <w:rPr>
                <w:rFonts w:hint="eastAsia" w:ascii="Times New Roman" w:hAnsi="Times New Roman" w:cs="Times New Roman"/>
                <w:snapToGrid w:val="0"/>
                <w:color w:val="auto"/>
                <w:kern w:val="21"/>
                <w:szCs w:val="21"/>
                <w:highlight w:val="none"/>
                <w:lang w:val="en-US" w:eastAsia="zh-CN"/>
              </w:rPr>
              <w:t>.296</w:t>
            </w:r>
            <w:r>
              <w:rPr>
                <w:rFonts w:hint="default" w:ascii="Times New Roman" w:hAnsi="Times New Roman" w:cs="Times New Roman"/>
                <w:color w:val="auto"/>
                <w:kern w:val="2"/>
                <w:sz w:val="21"/>
                <w:szCs w:val="21"/>
                <w:highlight w:val="none"/>
                <w:lang w:val="en-US" w:eastAsia="zh-CN"/>
              </w:rPr>
              <w:t>t/a</w:t>
            </w:r>
          </w:p>
        </w:tc>
        <w:tc>
          <w:tcPr>
            <w:tcW w:w="1554"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0</w:t>
            </w:r>
          </w:p>
        </w:tc>
        <w:tc>
          <w:tcPr>
            <w:tcW w:w="1828"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50</w:t>
            </w:r>
            <w:r>
              <w:rPr>
                <w:rFonts w:hint="eastAsia" w:ascii="Times New Roman" w:hAnsi="Times New Roman" w:cs="Times New Roman"/>
                <w:snapToGrid w:val="0"/>
                <w:color w:val="auto"/>
                <w:kern w:val="21"/>
                <w:szCs w:val="21"/>
                <w:highlight w:val="none"/>
                <w:lang w:val="en-US" w:eastAsia="zh-CN"/>
              </w:rPr>
              <w:t>.296</w:t>
            </w:r>
            <w:r>
              <w:rPr>
                <w:rFonts w:hint="default" w:ascii="Times New Roman" w:hAnsi="Times New Roman" w:cs="Times New Roman"/>
                <w:color w:val="auto"/>
                <w:kern w:val="2"/>
                <w:sz w:val="21"/>
                <w:szCs w:val="21"/>
                <w:highlight w:val="none"/>
                <w:lang w:val="en-US" w:eastAsia="zh-CN"/>
              </w:rPr>
              <w:t>t/a</w:t>
            </w:r>
          </w:p>
        </w:tc>
        <w:tc>
          <w:tcPr>
            <w:tcW w:w="1337"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+50</w:t>
            </w:r>
            <w:r>
              <w:rPr>
                <w:rFonts w:hint="eastAsia" w:ascii="Times New Roman" w:hAnsi="Times New Roman" w:cs="Times New Roman"/>
                <w:snapToGrid w:val="0"/>
                <w:color w:val="auto"/>
                <w:kern w:val="21"/>
                <w:szCs w:val="21"/>
                <w:highlight w:val="none"/>
                <w:lang w:val="en-US" w:eastAsia="zh-CN"/>
              </w:rPr>
              <w:t>.296</w:t>
            </w:r>
            <w:r>
              <w:rPr>
                <w:rFonts w:hint="default" w:ascii="Times New Roman" w:hAnsi="Times New Roman" w:cs="Times New Roman"/>
                <w:color w:val="auto"/>
                <w:kern w:val="2"/>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1" w:type="dxa"/>
            <w:vMerge w:val="continue"/>
            <w:vAlign w:val="center"/>
          </w:tcPr>
          <w:p>
            <w:pPr>
              <w:spacing w:beforeLines="0" w:afterLines="0" w:line="240" w:lineRule="auto"/>
              <w:jc w:val="center"/>
              <w:rPr>
                <w:rFonts w:hint="default" w:ascii="Times New Roman" w:hAnsi="Times New Roman" w:cs="Times New Roman"/>
                <w:snapToGrid w:val="0"/>
                <w:color w:val="auto"/>
                <w:kern w:val="21"/>
                <w:szCs w:val="21"/>
                <w:highlight w:val="none"/>
              </w:rPr>
            </w:pPr>
          </w:p>
        </w:tc>
        <w:tc>
          <w:tcPr>
            <w:tcW w:w="2155" w:type="dxa"/>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kern w:val="2"/>
                <w:sz w:val="21"/>
                <w:szCs w:val="21"/>
                <w:highlight w:val="none"/>
                <w:lang w:val="en-US" w:eastAsia="zh-CN"/>
              </w:rPr>
              <w:t>DMF废液</w:t>
            </w:r>
          </w:p>
        </w:tc>
        <w:tc>
          <w:tcPr>
            <w:tcW w:w="1360" w:type="dxa"/>
            <w:vAlign w:val="center"/>
          </w:tcPr>
          <w:p>
            <w:pPr>
              <w:adjustRightInd w:val="0"/>
              <w:snapToGrid w:val="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color w:val="auto"/>
                <w:kern w:val="2"/>
                <w:sz w:val="21"/>
                <w:szCs w:val="21"/>
                <w:highlight w:val="none"/>
                <w:lang w:val="en-US" w:eastAsia="zh-CN"/>
              </w:rPr>
              <w:t>8251.2t/a</w:t>
            </w:r>
          </w:p>
        </w:tc>
        <w:tc>
          <w:tcPr>
            <w:tcW w:w="1276"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1491"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0</w:t>
            </w:r>
          </w:p>
        </w:tc>
        <w:tc>
          <w:tcPr>
            <w:tcW w:w="1596"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0</w:t>
            </w:r>
          </w:p>
        </w:tc>
        <w:tc>
          <w:tcPr>
            <w:tcW w:w="1554"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8251.2</w:t>
            </w:r>
            <w:r>
              <w:rPr>
                <w:rFonts w:hint="default" w:ascii="Times New Roman" w:hAnsi="Times New Roman" w:cs="Times New Roman"/>
                <w:color w:val="auto"/>
                <w:kern w:val="2"/>
                <w:sz w:val="21"/>
                <w:szCs w:val="21"/>
                <w:highlight w:val="none"/>
                <w:lang w:val="en-US" w:eastAsia="zh-CN"/>
              </w:rPr>
              <w:t>t/a</w:t>
            </w:r>
          </w:p>
        </w:tc>
        <w:tc>
          <w:tcPr>
            <w:tcW w:w="1828"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0</w:t>
            </w:r>
          </w:p>
        </w:tc>
        <w:tc>
          <w:tcPr>
            <w:tcW w:w="1337" w:type="dxa"/>
            <w:vAlign w:val="center"/>
          </w:tcPr>
          <w:p>
            <w:pPr>
              <w:widowControl/>
              <w:jc w:val="center"/>
              <w:textAlignment w:val="bottom"/>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-8251.2</w:t>
            </w:r>
            <w:r>
              <w:rPr>
                <w:rFonts w:hint="default" w:ascii="Times New Roman" w:hAnsi="Times New Roman" w:cs="Times New Roman"/>
                <w:color w:val="auto"/>
                <w:kern w:val="2"/>
                <w:sz w:val="21"/>
                <w:szCs w:val="21"/>
                <w:highlight w:val="none"/>
                <w:lang w:val="en-US" w:eastAsia="zh-CN"/>
              </w:rPr>
              <w:t>t/a</w:t>
            </w:r>
          </w:p>
        </w:tc>
      </w:tr>
    </w:tbl>
    <w:p>
      <w:pPr>
        <w:spacing w:before="192" w:beforeLines="80" w:after="24"/>
        <w:jc w:val="left"/>
        <w:rPr>
          <w:rFonts w:hint="default" w:ascii="Times New Roman" w:hAnsi="Times New Roman" w:cs="Times New Roman"/>
          <w:color w:val="auto"/>
          <w:highlight w:val="none"/>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pPr>
        <w:rPr>
          <w:rFonts w:hint="default" w:ascii="Times New Roman" w:hAnsi="Times New Roman" w:cs="Times New Roman"/>
          <w:color w:val="auto"/>
          <w:highlight w:val="none"/>
        </w:rPr>
        <w:sectPr>
          <w:footerReference r:id="rId4" w:type="default"/>
          <w:pgSz w:w="16838" w:h="11905" w:orient="landscape"/>
          <w:pgMar w:top="1417" w:right="1417" w:bottom="1417" w:left="1417" w:header="851" w:footer="1077" w:gutter="0"/>
          <w:pgBorders>
            <w:top w:val="none" w:sz="0" w:space="0"/>
            <w:left w:val="none" w:sz="0" w:space="0"/>
            <w:bottom w:val="none" w:sz="0" w:space="0"/>
            <w:right w:val="none" w:sz="0" w:space="0"/>
          </w:pgBorders>
          <w:pgNumType w:fmt="numberInDash"/>
          <w:cols w:space="0" w:num="1"/>
          <w:docGrid w:linePitch="312" w:charSpace="0"/>
        </w:sectPr>
      </w:pPr>
    </w:p>
    <w:p>
      <w:pPr>
        <w:pStyle w:val="3"/>
        <w:numPr>
          <w:ilvl w:val="0"/>
          <w:numId w:val="0"/>
        </w:numPr>
        <w:spacing w:before="240" w:after="120"/>
        <w:rPr>
          <w:rFonts w:hint="default" w:ascii="Times New Roman" w:hAnsi="Times New Roman" w:eastAsia="宋体" w:cs="Times New Roman"/>
          <w:b/>
          <w:bCs w:val="0"/>
          <w:color w:val="auto"/>
          <w:sz w:val="36"/>
          <w:szCs w:val="36"/>
          <w:highlight w:val="none"/>
        </w:rPr>
      </w:pPr>
      <w:r>
        <w:rPr>
          <w:rFonts w:hint="default" w:ascii="Times New Roman" w:hAnsi="Times New Roman" w:eastAsia="宋体" w:cs="Times New Roman"/>
          <w:b/>
          <w:bCs w:val="0"/>
          <w:color w:val="auto"/>
          <w:sz w:val="36"/>
          <w:szCs w:val="36"/>
          <w:highlight w:val="none"/>
        </w:rPr>
        <w:t>环境风险专项评价</w:t>
      </w:r>
    </w:p>
    <w:p>
      <w:pPr>
        <w:spacing w:line="360" w:lineRule="auto"/>
        <w:ind w:firstLine="480" w:firstLineChars="200"/>
        <w:jc w:val="left"/>
        <w:rPr>
          <w:rFonts w:hint="default" w:ascii="Times New Roman" w:hAnsi="Times New Roman" w:cs="Times New Roman"/>
          <w:color w:val="auto"/>
          <w:sz w:val="24"/>
          <w:highlight w:val="none"/>
          <w:lang w:bidi="ar"/>
        </w:rPr>
      </w:pPr>
      <w:r>
        <w:rPr>
          <w:rFonts w:hint="default" w:ascii="Times New Roman" w:hAnsi="Times New Roman" w:cs="Times New Roman"/>
          <w:color w:val="auto"/>
          <w:sz w:val="24"/>
          <w:highlight w:val="none"/>
          <w:lang w:bidi="ar"/>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在条件允许的情况下，可利用安全评价数据开展环境风险评价。环境风险评价的主要关注点是事故对厂（场）界外环境的影响。</w:t>
      </w:r>
    </w:p>
    <w:p>
      <w:pPr>
        <w:pStyle w:val="2"/>
        <w:numPr>
          <w:ilvl w:val="1"/>
          <w:numId w:val="10"/>
        </w:numPr>
        <w:tabs>
          <w:tab w:val="left" w:pos="420"/>
          <w:tab w:val="clear" w:pos="0"/>
        </w:tabs>
        <w:adjustRightInd w:val="0"/>
        <w:snapToGrid w:val="0"/>
        <w:spacing w:before="240" w:after="240" w:line="240" w:lineRule="auto"/>
        <w:rPr>
          <w:rFonts w:hint="default" w:ascii="Times New Roman" w:hAnsi="Times New Roman" w:eastAsia="宋体" w:cs="Times New Roman"/>
          <w:bCs w:val="0"/>
          <w:color w:val="auto"/>
          <w:highlight w:val="none"/>
          <w:lang w:val="en-US" w:eastAsia="zh-CN"/>
        </w:rPr>
      </w:pPr>
      <w:r>
        <w:rPr>
          <w:rFonts w:hint="default" w:ascii="Times New Roman" w:hAnsi="Times New Roman" w:eastAsia="宋体" w:cs="Times New Roman"/>
          <w:bCs w:val="0"/>
          <w:color w:val="auto"/>
          <w:highlight w:val="none"/>
          <w:lang w:val="en-US" w:eastAsia="zh-CN"/>
        </w:rPr>
        <w:t>编制依据</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《中华人民共和国环境保护法》2015年；</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《中华人民共和国环境影响评价法》2018年；</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《关于进一步加强环境影响评价管理防范环境风险的通知》</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环发[2012]77号</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《关于切实加强风险防范严格环境影响评价管理的通知》</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环发[2012]98号</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《建设项目环境风险评价技术导则》(HJ169-20</w:t>
      </w:r>
      <w:r>
        <w:rPr>
          <w:rFonts w:hint="default" w:ascii="Times New Roman" w:hAnsi="Times New Roman"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rPr>
        <w:t>)；</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《企业突发环境事件风险评估指南</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试行</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环办[2014]34号</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《危险化学品重大危险源辨识》（GB18218-20</w:t>
      </w:r>
      <w:r>
        <w:rPr>
          <w:rFonts w:hint="default" w:ascii="Times New Roman" w:hAnsi="Times New Roman"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rPr>
        <w:t>）；</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《事故状态下水体污染的预防与控制技术要求》(Q/SY08190-2019)；</w:t>
      </w:r>
    </w:p>
    <w:p>
      <w:pPr>
        <w:widowControl w:val="0"/>
        <w:numPr>
          <w:ilvl w:val="0"/>
          <w:numId w:val="11"/>
        </w:numPr>
        <w:spacing w:line="360" w:lineRule="auto"/>
        <w:ind w:left="0" w:leftChars="0" w:firstLine="480" w:firstLineChars="200"/>
        <w:jc w:val="both"/>
        <w:rPr>
          <w:rFonts w:hint="default" w:ascii="Times New Roman" w:hAnsi="Times New Roman" w:eastAsia="宋体" w:cs="Times New Roman"/>
          <w:snapToGrid/>
          <w:color w:val="auto"/>
          <w:kern w:val="0"/>
          <w:sz w:val="24"/>
          <w:szCs w:val="24"/>
          <w:highlight w:val="none"/>
          <w:lang w:val="en-US" w:eastAsia="zh-CN" w:bidi="ar-SA"/>
        </w:rPr>
      </w:pPr>
      <w:r>
        <w:rPr>
          <w:rFonts w:hint="default" w:ascii="Times New Roman" w:hAnsi="Times New Roman" w:eastAsia="宋体" w:cs="Times New Roman"/>
          <w:snapToGrid/>
          <w:color w:val="auto"/>
          <w:kern w:val="0"/>
          <w:sz w:val="24"/>
          <w:szCs w:val="24"/>
          <w:highlight w:val="none"/>
          <w:lang w:val="en-US" w:eastAsia="zh-CN" w:bidi="ar-SA"/>
        </w:rPr>
        <w:t>《消防给水及消火栓系统技术规范》（GB50974-2014）；</w:t>
      </w:r>
    </w:p>
    <w:p>
      <w:pPr>
        <w:widowControl w:val="0"/>
        <w:numPr>
          <w:ilvl w:val="0"/>
          <w:numId w:val="11"/>
        </w:numPr>
        <w:spacing w:line="360" w:lineRule="auto"/>
        <w:ind w:left="0" w:leftChars="0" w:firstLine="480" w:firstLineChars="200"/>
        <w:jc w:val="both"/>
        <w:rPr>
          <w:rFonts w:hint="default" w:ascii="Times New Roman" w:hAnsi="Times New Roman" w:eastAsia="宋体" w:cs="Times New Roman"/>
          <w:snapToGrid/>
          <w:color w:val="auto"/>
          <w:kern w:val="0"/>
          <w:sz w:val="24"/>
          <w:szCs w:val="24"/>
          <w:highlight w:val="none"/>
          <w:lang w:val="en-US" w:eastAsia="zh-CN" w:bidi="ar-SA"/>
        </w:rPr>
      </w:pPr>
      <w:r>
        <w:rPr>
          <w:rFonts w:hint="default" w:ascii="Times New Roman" w:hAnsi="Times New Roman" w:eastAsia="宋体" w:cs="Times New Roman"/>
          <w:snapToGrid/>
          <w:color w:val="auto"/>
          <w:kern w:val="0"/>
          <w:sz w:val="24"/>
          <w:szCs w:val="24"/>
          <w:highlight w:val="none"/>
          <w:vertAlign w:val="baseline"/>
          <w:lang w:val="en-US" w:eastAsia="zh-CN" w:bidi="ar-SA"/>
        </w:rPr>
        <w:t>《建筑设计防火规范》( GB50016-2014) (2018 修订版</w:t>
      </w:r>
      <w:r>
        <w:rPr>
          <w:rFonts w:hint="default" w:ascii="Times New Roman" w:hAnsi="Times New Roman" w:cs="Times New Roman"/>
          <w:snapToGrid/>
          <w:color w:val="auto"/>
          <w:kern w:val="0"/>
          <w:sz w:val="24"/>
          <w:szCs w:val="24"/>
          <w:highlight w:val="none"/>
          <w:vertAlign w:val="baseline"/>
          <w:lang w:val="en-US" w:eastAsia="zh-CN" w:bidi="ar-SA"/>
        </w:rPr>
        <w:t>）</w:t>
      </w:r>
      <w:r>
        <w:rPr>
          <w:rFonts w:hint="default" w:ascii="Times New Roman" w:hAnsi="Times New Roman" w:eastAsia="宋体" w:cs="Times New Roman"/>
          <w:snapToGrid/>
          <w:color w:val="auto"/>
          <w:kern w:val="0"/>
          <w:sz w:val="24"/>
          <w:szCs w:val="24"/>
          <w:highlight w:val="none"/>
          <w:lang w:val="en-US" w:eastAsia="zh-CN" w:bidi="ar-SA"/>
        </w:rPr>
        <w:t>。</w:t>
      </w:r>
    </w:p>
    <w:p>
      <w:pPr>
        <w:pStyle w:val="2"/>
        <w:numPr>
          <w:ilvl w:val="1"/>
          <w:numId w:val="10"/>
        </w:numPr>
        <w:tabs>
          <w:tab w:val="left" w:pos="420"/>
          <w:tab w:val="clear" w:pos="0"/>
        </w:tabs>
        <w:adjustRightInd w:val="0"/>
        <w:snapToGrid w:val="0"/>
        <w:spacing w:before="240" w:after="240" w:line="240" w:lineRule="auto"/>
        <w:rPr>
          <w:rFonts w:hint="default" w:ascii="Times New Roman" w:hAnsi="Times New Roman" w:cs="Times New Roman"/>
          <w:bCs w:val="0"/>
          <w:color w:val="auto"/>
          <w:highlight w:val="none"/>
        </w:rPr>
      </w:pPr>
      <w:r>
        <w:rPr>
          <w:rFonts w:hint="default" w:ascii="Times New Roman" w:hAnsi="Times New Roman" w:cs="Times New Roman"/>
          <w:bCs w:val="0"/>
          <w:color w:val="auto"/>
          <w:highlight w:val="none"/>
        </w:rPr>
        <w:t>风险</w:t>
      </w:r>
      <w:r>
        <w:rPr>
          <w:rFonts w:hint="default" w:ascii="Times New Roman" w:hAnsi="Times New Roman" w:cs="Times New Roman"/>
          <w:bCs w:val="0"/>
          <w:color w:val="auto"/>
          <w:highlight w:val="none"/>
          <w:lang w:val="en-US" w:eastAsia="zh-CN"/>
        </w:rPr>
        <w:t>调查</w:t>
      </w:r>
    </w:p>
    <w:p>
      <w:pPr>
        <w:pStyle w:val="4"/>
        <w:numPr>
          <w:ilvl w:val="2"/>
          <w:numId w:val="10"/>
        </w:numPr>
        <w:rPr>
          <w:rFonts w:hint="default" w:ascii="Times New Roman" w:hAnsi="Times New Roman" w:cs="Times New Roman"/>
          <w:color w:val="auto"/>
          <w:highlight w:val="none"/>
        </w:rPr>
      </w:pPr>
      <w:r>
        <w:rPr>
          <w:rFonts w:hint="default" w:ascii="Times New Roman" w:hAnsi="Times New Roman" w:cs="Times New Roman"/>
          <w:color w:val="auto"/>
          <w:highlight w:val="none"/>
        </w:rPr>
        <w:t>物质风险识</w:t>
      </w:r>
      <w:r>
        <w:rPr>
          <w:rFonts w:hint="default" w:ascii="Times New Roman" w:hAnsi="Times New Roman" w:cs="Times New Roman"/>
          <w:color w:val="auto"/>
          <w:highlight w:val="none"/>
          <w:lang w:val="en-US" w:eastAsia="zh-CN"/>
        </w:rPr>
        <w:t>别</w:t>
      </w:r>
    </w:p>
    <w:p>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现有工程涉及的风险物质为PU树脂、DMF、DMF废液、机油；本项目利用现有工程产生的DMF废液回收DMF，涉及的危险物质主要为DMF、DMF废液、机油，利用厂区现有DMF储罐（30t 2个）和DMF废水储罐（150t 2个）进行储存，不新增危险物质储罐。本项目建成后全厂风险物质及储存情况见表2.1-1，物质性质见表2.1-2。</w:t>
      </w:r>
    </w:p>
    <w:p>
      <w:pPr>
        <w:pStyle w:val="5"/>
        <w:bidi w:val="0"/>
        <w:rPr>
          <w:rFonts w:hint="default" w:ascii="Times New Roman" w:hAnsi="Times New Roman" w:cs="Times New Roman"/>
          <w:color w:val="auto"/>
          <w:highlight w:val="none"/>
          <w:lang w:val="en-US" w:eastAsia="zh-CN"/>
        </w:rPr>
      </w:pPr>
    </w:p>
    <w:p>
      <w:pPr>
        <w:pStyle w:val="5"/>
        <w:bidi w:val="0"/>
        <w:rPr>
          <w:rFonts w:hint="default" w:ascii="Times New Roman" w:hAnsi="Times New Roman" w:cs="Times New Roman"/>
          <w:color w:val="auto"/>
          <w:highlight w:val="none"/>
          <w:lang w:val="en-US" w:eastAsia="zh-CN"/>
        </w:rPr>
      </w:pPr>
    </w:p>
    <w:p>
      <w:pPr>
        <w:pStyle w:val="5"/>
        <w:bidi w:val="0"/>
        <w:rPr>
          <w:rFonts w:hint="default" w:ascii="Times New Roman" w:hAnsi="Times New Roman" w:cs="Times New Roman"/>
          <w:color w:val="auto"/>
          <w:highlight w:val="none"/>
          <w:lang w:val="en-US" w:eastAsia="zh-CN"/>
        </w:rPr>
      </w:pPr>
    </w:p>
    <w:p>
      <w:pPr>
        <w:pStyle w:val="15"/>
        <w:numPr>
          <w:ilvl w:val="7"/>
          <w:numId w:val="0"/>
        </w:numPr>
        <w:bidi w:val="0"/>
        <w:ind w:left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 xml:space="preserve">表2.1-1  </w:t>
      </w:r>
      <w:r>
        <w:rPr>
          <w:rFonts w:hint="default" w:ascii="Times New Roman" w:hAnsi="Times New Roman" w:cs="Times New Roman"/>
          <w:color w:val="auto"/>
          <w:highlight w:val="none"/>
          <w:lang w:val="en-US" w:eastAsia="zh-CN"/>
        </w:rPr>
        <w:t>全厂</w:t>
      </w:r>
      <w:r>
        <w:rPr>
          <w:rFonts w:hint="default" w:ascii="Times New Roman" w:hAnsi="Times New Roman" w:cs="Times New Roman"/>
          <w:color w:val="auto"/>
          <w:highlight w:val="none"/>
        </w:rPr>
        <w:t>危险物质最大储存量和分布情况一览表</w:t>
      </w:r>
      <w:r>
        <w:rPr>
          <w:rFonts w:hint="default" w:ascii="Times New Roman" w:hAnsi="Times New Roman" w:cs="Times New Roman"/>
          <w:color w:val="auto"/>
          <w:highlight w:val="none"/>
          <w:lang w:val="en-US" w:eastAsia="zh-CN"/>
        </w:rPr>
        <w:t xml:space="preserve">  单位：t</w:t>
      </w:r>
    </w:p>
    <w:tbl>
      <w:tblPr>
        <w:tblStyle w:val="11"/>
        <w:tblW w:w="9288"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38"/>
        <w:gridCol w:w="1625"/>
        <w:gridCol w:w="910"/>
        <w:gridCol w:w="678"/>
        <w:gridCol w:w="783"/>
        <w:gridCol w:w="717"/>
        <w:gridCol w:w="926"/>
        <w:gridCol w:w="141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8" w:type="dxa"/>
            <w:vMerge w:val="restart"/>
            <w:tcBorders>
              <w:tl2br w:val="nil"/>
              <w:tr2bl w:val="nil"/>
            </w:tcBorders>
            <w:shd w:val="clear" w:color="auto" w:fill="auto"/>
            <w:vAlign w:val="center"/>
          </w:tcPr>
          <w:p>
            <w:pPr>
              <w:widowControl/>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风险物质</w:t>
            </w:r>
          </w:p>
        </w:tc>
        <w:tc>
          <w:tcPr>
            <w:tcW w:w="1625" w:type="dxa"/>
            <w:vMerge w:val="restart"/>
            <w:tcBorders>
              <w:tl2br w:val="nil"/>
              <w:tr2bl w:val="nil"/>
            </w:tcBorders>
            <w:shd w:val="clear" w:color="auto" w:fill="auto"/>
            <w:vAlign w:val="center"/>
          </w:tcPr>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储存位置</w:t>
            </w:r>
          </w:p>
        </w:tc>
        <w:tc>
          <w:tcPr>
            <w:tcW w:w="910" w:type="dxa"/>
            <w:vMerge w:val="restart"/>
            <w:tcBorders>
              <w:tl2br w:val="nil"/>
              <w:tr2bl w:val="nil"/>
            </w:tcBorders>
            <w:shd w:val="clear" w:color="auto" w:fill="auto"/>
            <w:vAlign w:val="center"/>
          </w:tcPr>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CAS号</w:t>
            </w:r>
          </w:p>
        </w:tc>
        <w:tc>
          <w:tcPr>
            <w:tcW w:w="2178" w:type="dxa"/>
            <w:gridSpan w:val="3"/>
            <w:tcBorders>
              <w:tl2br w:val="nil"/>
              <w:tr2bl w:val="nil"/>
            </w:tcBorders>
            <w:shd w:val="clear" w:color="auto" w:fill="auto"/>
            <w:vAlign w:val="center"/>
          </w:tcPr>
          <w:p>
            <w:pPr>
              <w:widowControl/>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最大储存量</w:t>
            </w:r>
          </w:p>
        </w:tc>
        <w:tc>
          <w:tcPr>
            <w:tcW w:w="926" w:type="dxa"/>
            <w:vMerge w:val="restart"/>
            <w:tcBorders>
              <w:tl2br w:val="nil"/>
              <w:tr2bl w:val="nil"/>
            </w:tcBorders>
            <w:shd w:val="clear" w:color="auto" w:fill="auto"/>
            <w:vAlign w:val="center"/>
          </w:tcPr>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临界量</w:t>
            </w:r>
          </w:p>
        </w:tc>
        <w:tc>
          <w:tcPr>
            <w:tcW w:w="1411" w:type="dxa"/>
            <w:vMerge w:val="restart"/>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储罐规模</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8" w:type="dxa"/>
            <w:vMerge w:val="continue"/>
            <w:tcBorders>
              <w:tl2br w:val="nil"/>
              <w:tr2bl w:val="nil"/>
            </w:tcBorders>
            <w:shd w:val="clear" w:color="auto" w:fill="auto"/>
            <w:vAlign w:val="center"/>
          </w:tcPr>
          <w:p>
            <w:pPr>
              <w:widowControl/>
              <w:jc w:val="center"/>
              <w:rPr>
                <w:rFonts w:hint="default" w:ascii="Times New Roman" w:hAnsi="Times New Roman" w:cs="Times New Roman"/>
                <w:color w:val="auto"/>
                <w:highlight w:val="none"/>
              </w:rPr>
            </w:pPr>
          </w:p>
        </w:tc>
        <w:tc>
          <w:tcPr>
            <w:tcW w:w="1625" w:type="dxa"/>
            <w:vMerge w:val="continue"/>
            <w:tcBorders>
              <w:tl2br w:val="nil"/>
              <w:tr2bl w:val="nil"/>
            </w:tcBorders>
            <w:shd w:val="clear" w:color="auto" w:fill="auto"/>
            <w:vAlign w:val="center"/>
          </w:tcPr>
          <w:p>
            <w:pPr>
              <w:widowControl/>
              <w:jc w:val="center"/>
              <w:rPr>
                <w:rFonts w:hint="default" w:ascii="Times New Roman" w:hAnsi="Times New Roman" w:cs="Times New Roman"/>
                <w:color w:val="auto"/>
                <w:highlight w:val="none"/>
              </w:rPr>
            </w:pPr>
          </w:p>
        </w:tc>
        <w:tc>
          <w:tcPr>
            <w:tcW w:w="910" w:type="dxa"/>
            <w:vMerge w:val="continue"/>
            <w:tcBorders>
              <w:tl2br w:val="nil"/>
              <w:tr2bl w:val="nil"/>
            </w:tcBorders>
            <w:shd w:val="clear" w:color="auto" w:fill="auto"/>
            <w:vAlign w:val="center"/>
          </w:tcPr>
          <w:p>
            <w:pPr>
              <w:widowControl/>
              <w:jc w:val="center"/>
              <w:rPr>
                <w:rFonts w:hint="default" w:ascii="Times New Roman" w:hAnsi="Times New Roman" w:cs="Times New Roman"/>
                <w:color w:val="auto"/>
                <w:highlight w:val="none"/>
              </w:rPr>
            </w:pPr>
          </w:p>
        </w:tc>
        <w:tc>
          <w:tcPr>
            <w:tcW w:w="678" w:type="dxa"/>
            <w:tcBorders>
              <w:tl2br w:val="nil"/>
              <w:tr2bl w:val="nil"/>
            </w:tcBorders>
            <w:shd w:val="clear" w:color="auto" w:fill="auto"/>
            <w:vAlign w:val="center"/>
          </w:tcPr>
          <w:p>
            <w:pPr>
              <w:widowControl/>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现有</w:t>
            </w:r>
          </w:p>
          <w:p>
            <w:pPr>
              <w:widowControl/>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工程</w:t>
            </w:r>
          </w:p>
        </w:tc>
        <w:tc>
          <w:tcPr>
            <w:tcW w:w="783" w:type="dxa"/>
            <w:tcBorders>
              <w:tl2br w:val="nil"/>
              <w:tr2bl w:val="nil"/>
            </w:tcBorders>
            <w:shd w:val="clear" w:color="auto" w:fill="auto"/>
            <w:vAlign w:val="center"/>
          </w:tcPr>
          <w:p>
            <w:pPr>
              <w:widowControl/>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本次</w:t>
            </w:r>
          </w:p>
          <w:p>
            <w:pPr>
              <w:widowControl/>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新增</w:t>
            </w:r>
          </w:p>
        </w:tc>
        <w:tc>
          <w:tcPr>
            <w:tcW w:w="717" w:type="dxa"/>
            <w:tcBorders>
              <w:tl2br w:val="nil"/>
              <w:tr2bl w:val="nil"/>
            </w:tcBorders>
            <w:shd w:val="clear" w:color="auto" w:fill="auto"/>
            <w:vAlign w:val="center"/>
          </w:tcPr>
          <w:p>
            <w:pPr>
              <w:widowControl/>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全厂</w:t>
            </w:r>
          </w:p>
          <w:p>
            <w:pPr>
              <w:widowControl/>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合计</w:t>
            </w:r>
          </w:p>
        </w:tc>
        <w:tc>
          <w:tcPr>
            <w:tcW w:w="926" w:type="dxa"/>
            <w:vMerge w:val="continue"/>
            <w:tcBorders>
              <w:tl2br w:val="nil"/>
              <w:tr2bl w:val="nil"/>
            </w:tcBorders>
            <w:shd w:val="clear" w:color="auto" w:fill="auto"/>
            <w:vAlign w:val="center"/>
          </w:tcPr>
          <w:p>
            <w:pPr>
              <w:widowControl/>
              <w:jc w:val="center"/>
              <w:rPr>
                <w:rFonts w:hint="default" w:ascii="Times New Roman" w:hAnsi="Times New Roman" w:cs="Times New Roman"/>
                <w:color w:val="auto"/>
                <w:highlight w:val="none"/>
                <w:lang w:val="en-US" w:eastAsia="zh-CN"/>
              </w:rPr>
            </w:pPr>
          </w:p>
        </w:tc>
        <w:tc>
          <w:tcPr>
            <w:tcW w:w="1411" w:type="dxa"/>
            <w:vMerge w:val="continue"/>
            <w:tcBorders>
              <w:tl2br w:val="nil"/>
              <w:tr2bl w:val="nil"/>
            </w:tcBorders>
            <w:shd w:val="clear" w:color="auto" w:fill="auto"/>
            <w:vAlign w:val="center"/>
          </w:tcPr>
          <w:p>
            <w:pPr>
              <w:widowControl/>
              <w:jc w:val="center"/>
              <w:rPr>
                <w:rFonts w:hint="default" w:ascii="Times New Roman" w:hAnsi="Times New Roman" w:cs="Times New Roman"/>
                <w:color w:val="auto"/>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8" w:type="dxa"/>
            <w:vMerge w:val="restart"/>
            <w:tcBorders>
              <w:tl2br w:val="nil"/>
              <w:tr2bl w:val="nil"/>
            </w:tcBorders>
            <w:shd w:val="clear" w:color="auto" w:fill="auto"/>
            <w:vAlign w:val="center"/>
          </w:tcPr>
          <w:p>
            <w:pPr>
              <w:widowControl/>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DMF</w:t>
            </w:r>
          </w:p>
        </w:tc>
        <w:tc>
          <w:tcPr>
            <w:tcW w:w="16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DMF储罐</w:t>
            </w:r>
          </w:p>
        </w:tc>
        <w:tc>
          <w:tcPr>
            <w:tcW w:w="910" w:type="dxa"/>
            <w:vMerge w:val="restart"/>
            <w:tcBorders>
              <w:tl2br w:val="nil"/>
              <w:tr2bl w:val="nil"/>
            </w:tcBorders>
            <w:shd w:val="clear" w:color="auto" w:fill="auto"/>
            <w:vAlign w:val="center"/>
          </w:tcPr>
          <w:p>
            <w:pPr>
              <w:widowControl/>
              <w:jc w:val="center"/>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68-12-2</w:t>
            </w:r>
          </w:p>
        </w:tc>
        <w:tc>
          <w:tcPr>
            <w:tcW w:w="678"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48</w:t>
            </w:r>
          </w:p>
        </w:tc>
        <w:tc>
          <w:tcPr>
            <w:tcW w:w="783" w:type="dxa"/>
            <w:tcBorders>
              <w:tl2br w:val="nil"/>
              <w:tr2bl w:val="nil"/>
            </w:tcBorders>
            <w:shd w:val="clear" w:color="auto" w:fill="auto"/>
            <w:vAlign w:val="center"/>
          </w:tcPr>
          <w:p>
            <w:pPr>
              <w:widowControl/>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w:t>
            </w:r>
          </w:p>
        </w:tc>
        <w:tc>
          <w:tcPr>
            <w:tcW w:w="717" w:type="dxa"/>
            <w:tcBorders>
              <w:tl2br w:val="nil"/>
              <w:tr2bl w:val="nil"/>
            </w:tcBorders>
            <w:shd w:val="clear" w:color="auto" w:fill="auto"/>
            <w:vAlign w:val="center"/>
          </w:tcPr>
          <w:p>
            <w:pPr>
              <w:widowControl/>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48</w:t>
            </w:r>
          </w:p>
        </w:tc>
        <w:tc>
          <w:tcPr>
            <w:tcW w:w="926" w:type="dxa"/>
            <w:vMerge w:val="restart"/>
            <w:tcBorders>
              <w:tl2br w:val="nil"/>
              <w:tr2bl w:val="nil"/>
            </w:tcBorders>
            <w:shd w:val="clear" w:color="auto" w:fill="auto"/>
            <w:vAlign w:val="center"/>
          </w:tcPr>
          <w:p>
            <w:pPr>
              <w:widowControl/>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5</w:t>
            </w:r>
          </w:p>
        </w:tc>
        <w:tc>
          <w:tcPr>
            <w:tcW w:w="1411" w:type="dxa"/>
            <w:tcBorders>
              <w:tl2br w:val="nil"/>
              <w:tr2bl w:val="nil"/>
            </w:tcBorders>
            <w:shd w:val="clear" w:color="auto" w:fill="auto"/>
            <w:vAlign w:val="center"/>
          </w:tcPr>
          <w:p>
            <w:pPr>
              <w:widowControl/>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30t 2个</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8" w:type="dxa"/>
            <w:vMerge w:val="continue"/>
            <w:tcBorders>
              <w:tl2br w:val="nil"/>
              <w:tr2bl w:val="nil"/>
            </w:tcBorders>
            <w:shd w:val="clear" w:color="auto" w:fill="auto"/>
            <w:vAlign w:val="center"/>
          </w:tcPr>
          <w:p>
            <w:pPr>
              <w:widowControl/>
              <w:jc w:val="center"/>
              <w:rPr>
                <w:rFonts w:hint="default" w:ascii="Times New Roman" w:hAnsi="Times New Roman" w:cs="Times New Roman"/>
                <w:color w:val="auto"/>
                <w:highlight w:val="none"/>
              </w:rPr>
            </w:pPr>
          </w:p>
        </w:tc>
        <w:tc>
          <w:tcPr>
            <w:tcW w:w="1625" w:type="dxa"/>
            <w:tcBorders>
              <w:tl2br w:val="nil"/>
              <w:tr2bl w:val="nil"/>
            </w:tcBorders>
            <w:shd w:val="clear" w:color="auto" w:fill="auto"/>
            <w:vAlign w:val="center"/>
          </w:tcPr>
          <w:p>
            <w:pPr>
              <w:widowControl/>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配料间、1#仓库PU树脂桶</w:t>
            </w:r>
          </w:p>
        </w:tc>
        <w:tc>
          <w:tcPr>
            <w:tcW w:w="910" w:type="dxa"/>
            <w:vMerge w:val="continue"/>
            <w:tcBorders>
              <w:tl2br w:val="nil"/>
              <w:tr2bl w:val="nil"/>
            </w:tcBorders>
            <w:shd w:val="clear" w:color="auto" w:fill="auto"/>
            <w:vAlign w:val="center"/>
          </w:tcPr>
          <w:p>
            <w:pPr>
              <w:widowControl/>
              <w:jc w:val="center"/>
              <w:rPr>
                <w:rFonts w:hint="default" w:ascii="Times New Roman" w:hAnsi="Times New Roman" w:cs="Times New Roman"/>
                <w:color w:val="auto"/>
                <w:highlight w:val="none"/>
                <w:lang w:val="en-US" w:eastAsia="zh-CN"/>
              </w:rPr>
            </w:pPr>
          </w:p>
        </w:tc>
        <w:tc>
          <w:tcPr>
            <w:tcW w:w="678"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33</w:t>
            </w:r>
          </w:p>
        </w:tc>
        <w:tc>
          <w:tcPr>
            <w:tcW w:w="783"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0</w:t>
            </w:r>
          </w:p>
        </w:tc>
        <w:tc>
          <w:tcPr>
            <w:tcW w:w="717"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33</w:t>
            </w:r>
          </w:p>
        </w:tc>
        <w:tc>
          <w:tcPr>
            <w:tcW w:w="926" w:type="dxa"/>
            <w:vMerge w:val="continue"/>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2"/>
                <w:sz w:val="21"/>
                <w:szCs w:val="24"/>
                <w:highlight w:val="none"/>
                <w:lang w:val="en-US" w:eastAsia="zh-CN" w:bidi="ar-SA"/>
              </w:rPr>
            </w:pPr>
          </w:p>
        </w:tc>
        <w:tc>
          <w:tcPr>
            <w:tcW w:w="1411"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1t桶装，60t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8"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机油</w:t>
            </w:r>
          </w:p>
        </w:tc>
        <w:tc>
          <w:tcPr>
            <w:tcW w:w="16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1#仓库</w:t>
            </w:r>
          </w:p>
        </w:tc>
        <w:tc>
          <w:tcPr>
            <w:tcW w:w="910"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678"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0.1</w:t>
            </w:r>
          </w:p>
        </w:tc>
        <w:tc>
          <w:tcPr>
            <w:tcW w:w="783"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0.1</w:t>
            </w:r>
          </w:p>
        </w:tc>
        <w:tc>
          <w:tcPr>
            <w:tcW w:w="717"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0.2</w:t>
            </w:r>
          </w:p>
        </w:tc>
        <w:tc>
          <w:tcPr>
            <w:tcW w:w="926"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2500</w:t>
            </w:r>
          </w:p>
        </w:tc>
        <w:tc>
          <w:tcPr>
            <w:tcW w:w="1411"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25kg储存桶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238" w:type="dxa"/>
            <w:vMerge w:val="restart"/>
            <w:tcBorders>
              <w:tl2br w:val="nil"/>
              <w:tr2bl w:val="nil"/>
            </w:tcBorders>
            <w:shd w:val="clear" w:color="auto" w:fill="auto"/>
            <w:vAlign w:val="center"/>
          </w:tcPr>
          <w:p>
            <w:pPr>
              <w:widowControl/>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DMF废液（</w:t>
            </w:r>
            <w:r>
              <w:rPr>
                <w:rFonts w:hint="default" w:ascii="Times New Roman" w:hAnsi="Times New Roman" w:cs="Times New Roman"/>
                <w:color w:val="auto"/>
                <w:highlight w:val="none"/>
                <w:lang w:val="en-US" w:eastAsia="zh-CN"/>
              </w:rPr>
              <w:t>COD</w:t>
            </w:r>
            <w:r>
              <w:rPr>
                <w:rFonts w:hint="default" w:ascii="Times New Roman" w:hAnsi="Times New Roman" w:cs="Times New Roman"/>
                <w:color w:val="auto"/>
                <w:highlight w:val="none"/>
                <w:vertAlign w:val="subscript"/>
                <w:lang w:val="en-US" w:eastAsia="zh-CN"/>
              </w:rPr>
              <w:t>Cr</w:t>
            </w:r>
            <w:r>
              <w:rPr>
                <w:rFonts w:hint="default" w:ascii="Times New Roman" w:hAnsi="Times New Roman" w:cs="Times New Roman"/>
                <w:color w:val="auto"/>
                <w:highlight w:val="none"/>
                <w:vertAlign w:val="baseline"/>
                <w:lang w:val="en-US" w:eastAsia="zh-CN"/>
              </w:rPr>
              <w:t>≥10000mg/L）</w:t>
            </w:r>
          </w:p>
        </w:tc>
        <w:tc>
          <w:tcPr>
            <w:tcW w:w="1625" w:type="dxa"/>
            <w:tcBorders>
              <w:tl2br w:val="nil"/>
              <w:tr2bl w:val="nil"/>
            </w:tcBorders>
            <w:shd w:val="clear" w:color="auto" w:fill="auto"/>
            <w:vAlign w:val="center"/>
          </w:tcPr>
          <w:p>
            <w:pPr>
              <w:widowControl/>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DMF废水罐</w:t>
            </w:r>
          </w:p>
        </w:tc>
        <w:tc>
          <w:tcPr>
            <w:tcW w:w="910" w:type="dxa"/>
            <w:vMerge w:val="restart"/>
            <w:tcBorders>
              <w:tl2br w:val="nil"/>
              <w:tr2bl w:val="nil"/>
            </w:tcBorders>
            <w:shd w:val="clear" w:color="auto" w:fill="auto"/>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78" w:type="dxa"/>
            <w:tcBorders>
              <w:tl2br w:val="nil"/>
              <w:tr2bl w:val="nil"/>
            </w:tcBorders>
            <w:shd w:val="clear" w:color="auto" w:fill="auto"/>
            <w:vAlign w:val="center"/>
          </w:tcPr>
          <w:p>
            <w:pPr>
              <w:widowControl/>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240</w:t>
            </w:r>
          </w:p>
        </w:tc>
        <w:tc>
          <w:tcPr>
            <w:tcW w:w="783" w:type="dxa"/>
            <w:tcBorders>
              <w:tl2br w:val="nil"/>
              <w:tr2bl w:val="nil"/>
            </w:tcBorders>
            <w:shd w:val="clear" w:color="auto" w:fill="auto"/>
            <w:vAlign w:val="center"/>
          </w:tcPr>
          <w:p>
            <w:pPr>
              <w:widowControl/>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w:t>
            </w:r>
          </w:p>
        </w:tc>
        <w:tc>
          <w:tcPr>
            <w:tcW w:w="717" w:type="dxa"/>
            <w:tcBorders>
              <w:tl2br w:val="nil"/>
              <w:tr2bl w:val="nil"/>
            </w:tcBorders>
            <w:shd w:val="clear" w:color="auto" w:fill="auto"/>
            <w:vAlign w:val="center"/>
          </w:tcPr>
          <w:p>
            <w:pPr>
              <w:widowControl/>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240</w:t>
            </w:r>
          </w:p>
        </w:tc>
        <w:tc>
          <w:tcPr>
            <w:tcW w:w="926" w:type="dxa"/>
            <w:vMerge w:val="restart"/>
            <w:tcBorders>
              <w:tl2br w:val="nil"/>
              <w:tr2bl w:val="nil"/>
            </w:tcBorders>
            <w:shd w:val="clear" w:color="auto" w:fill="auto"/>
            <w:vAlign w:val="center"/>
          </w:tcPr>
          <w:p>
            <w:pPr>
              <w:widowControl/>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w:t>
            </w:r>
          </w:p>
        </w:tc>
        <w:tc>
          <w:tcPr>
            <w:tcW w:w="1411" w:type="dxa"/>
            <w:tcBorders>
              <w:tl2br w:val="nil"/>
              <w:tr2bl w:val="nil"/>
            </w:tcBorders>
            <w:shd w:val="clear" w:color="auto" w:fill="auto"/>
            <w:vAlign w:val="center"/>
          </w:tcPr>
          <w:p>
            <w:pPr>
              <w:widowControl/>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150t 2个</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238" w:type="dxa"/>
            <w:vMerge w:val="continue"/>
            <w:tcBorders>
              <w:tl2br w:val="nil"/>
              <w:tr2bl w:val="nil"/>
            </w:tcBorders>
            <w:shd w:val="clear" w:color="auto" w:fill="auto"/>
            <w:vAlign w:val="center"/>
          </w:tcPr>
          <w:p>
            <w:pPr>
              <w:widowControl/>
              <w:jc w:val="center"/>
              <w:rPr>
                <w:rFonts w:hint="default" w:ascii="Times New Roman" w:hAnsi="Times New Roman" w:cs="Times New Roman"/>
                <w:color w:val="auto"/>
                <w:highlight w:val="none"/>
              </w:rPr>
            </w:pPr>
          </w:p>
        </w:tc>
        <w:tc>
          <w:tcPr>
            <w:tcW w:w="1625"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DMF回收设备</w:t>
            </w:r>
          </w:p>
        </w:tc>
        <w:tc>
          <w:tcPr>
            <w:tcW w:w="910" w:type="dxa"/>
            <w:vMerge w:val="continue"/>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2"/>
                <w:sz w:val="21"/>
                <w:szCs w:val="24"/>
                <w:highlight w:val="none"/>
                <w:lang w:val="en-US" w:eastAsia="zh-CN" w:bidi="ar-SA"/>
              </w:rPr>
            </w:pPr>
          </w:p>
        </w:tc>
        <w:tc>
          <w:tcPr>
            <w:tcW w:w="678"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0</w:t>
            </w:r>
          </w:p>
        </w:tc>
        <w:tc>
          <w:tcPr>
            <w:tcW w:w="783"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27.67</w:t>
            </w:r>
          </w:p>
        </w:tc>
        <w:tc>
          <w:tcPr>
            <w:tcW w:w="717"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27.67</w:t>
            </w:r>
          </w:p>
        </w:tc>
        <w:tc>
          <w:tcPr>
            <w:tcW w:w="926" w:type="dxa"/>
            <w:vMerge w:val="continue"/>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2"/>
                <w:sz w:val="21"/>
                <w:szCs w:val="24"/>
                <w:highlight w:val="none"/>
                <w:lang w:val="en-US" w:eastAsia="zh-CN" w:bidi="ar-SA"/>
              </w:rPr>
            </w:pPr>
          </w:p>
        </w:tc>
        <w:tc>
          <w:tcPr>
            <w:tcW w:w="1411" w:type="dxa"/>
            <w:tcBorders>
              <w:tl2br w:val="nil"/>
              <w:tr2bl w:val="nil"/>
            </w:tcBorders>
            <w:shd w:val="clear" w:color="auto" w:fill="auto"/>
            <w:vAlign w:val="center"/>
          </w:tcPr>
          <w:p>
            <w:pPr>
              <w:widowControl/>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88" w:type="dxa"/>
            <w:gridSpan w:val="8"/>
            <w:tcBorders>
              <w:tl2br w:val="nil"/>
              <w:tr2bl w:val="nil"/>
            </w:tcBorders>
            <w:shd w:val="clear" w:color="auto" w:fill="auto"/>
            <w:vAlign w:val="center"/>
          </w:tcPr>
          <w:p>
            <w:pPr>
              <w:widowControl/>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注：危险物质最大储存量按纯物质折算；储罐装载量以容积的8</w:t>
            </w:r>
            <w:r>
              <w:rPr>
                <w:rFonts w:hint="eastAsia" w:cs="Times New Roman"/>
                <w:color w:val="auto"/>
                <w:highlight w:val="none"/>
                <w:lang w:val="en-US" w:eastAsia="zh-CN"/>
              </w:rPr>
              <w:t>0</w:t>
            </w:r>
            <w:r>
              <w:rPr>
                <w:rFonts w:hint="default" w:ascii="Times New Roman" w:hAnsi="Times New Roman" w:cs="Times New Roman"/>
                <w:color w:val="auto"/>
                <w:highlight w:val="none"/>
                <w:lang w:val="en-US" w:eastAsia="zh-CN"/>
              </w:rPr>
              <w:t>%计。</w:t>
            </w:r>
          </w:p>
        </w:tc>
      </w:tr>
    </w:tbl>
    <w:p>
      <w:pPr>
        <w:rPr>
          <w:rFonts w:hint="default" w:ascii="Times New Roman" w:hAnsi="Times New Roman" w:cs="Times New Roman"/>
          <w:color w:val="auto"/>
          <w:highlight w:val="none"/>
          <w:lang w:val="en-US" w:eastAsia="zh-CN"/>
        </w:rPr>
      </w:pPr>
    </w:p>
    <w:p>
      <w:pPr>
        <w:pStyle w:val="15"/>
        <w:numPr>
          <w:ilvl w:val="7"/>
          <w:numId w:val="0"/>
        </w:numPr>
        <w:bidi w:val="0"/>
        <w:ind w:left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表2.1-2 危险物质理化性质及危险特性表</w:t>
      </w:r>
    </w:p>
    <w:tbl>
      <w:tblPr>
        <w:tblStyle w:val="11"/>
        <w:tblW w:w="907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98"/>
        <w:gridCol w:w="702"/>
        <w:gridCol w:w="450"/>
        <w:gridCol w:w="500"/>
        <w:gridCol w:w="483"/>
        <w:gridCol w:w="712"/>
        <w:gridCol w:w="1921"/>
        <w:gridCol w:w="1517"/>
        <w:gridCol w:w="867"/>
        <w:gridCol w:w="719"/>
        <w:gridCol w:w="70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8"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物料名称</w:t>
            </w:r>
          </w:p>
        </w:tc>
        <w:tc>
          <w:tcPr>
            <w:tcW w:w="4768" w:type="dxa"/>
            <w:gridSpan w:val="6"/>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理化性质</w:t>
            </w:r>
          </w:p>
        </w:tc>
        <w:tc>
          <w:tcPr>
            <w:tcW w:w="3103"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危险特性</w:t>
            </w:r>
          </w:p>
        </w:tc>
        <w:tc>
          <w:tcPr>
            <w:tcW w:w="703"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接触</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限值</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mg/m</w:t>
            </w:r>
            <w:r>
              <w:rPr>
                <w:rFonts w:hint="default" w:ascii="Times New Roman" w:hAnsi="Times New Roman" w:eastAsia="宋体" w:cs="Times New Roman"/>
                <w:color w:val="auto"/>
                <w:kern w:val="0"/>
                <w:position w:val="7"/>
                <w:sz w:val="21"/>
                <w:szCs w:val="21"/>
                <w:highlight w:val="none"/>
                <w:vertAlign w:val="superscript"/>
                <w:lang w:val="en-US" w:eastAsia="zh-CN" w:bidi="ar-SA"/>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498"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702" w:type="dxa"/>
            <w:vMerge w:val="restart"/>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vertAlign w:val="superscript"/>
                <w:lang w:val="en-US" w:eastAsia="zh-CN"/>
              </w:rPr>
            </w:pPr>
            <w:r>
              <w:rPr>
                <w:rFonts w:hint="default" w:ascii="Times New Roman" w:hAnsi="Times New Roman" w:cs="Times New Roman"/>
                <w:color w:val="auto"/>
                <w:highlight w:val="none"/>
                <w:lang w:val="en-US" w:eastAsia="zh-CN"/>
              </w:rPr>
              <w:t>相对密度g/m</w:t>
            </w:r>
            <w:r>
              <w:rPr>
                <w:rFonts w:hint="default" w:ascii="Times New Roman" w:hAnsi="Times New Roman" w:cs="Times New Roman"/>
                <w:color w:val="auto"/>
                <w:highlight w:val="none"/>
                <w:vertAlign w:val="superscript"/>
                <w:lang w:val="en-US" w:eastAsia="zh-CN"/>
              </w:rPr>
              <w:t>3</w:t>
            </w:r>
          </w:p>
        </w:tc>
        <w:tc>
          <w:tcPr>
            <w:tcW w:w="450" w:type="dxa"/>
            <w:vMerge w:val="restart"/>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熔点℃</w:t>
            </w:r>
          </w:p>
        </w:tc>
        <w:tc>
          <w:tcPr>
            <w:tcW w:w="500" w:type="dxa"/>
            <w:vMerge w:val="restart"/>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闪点</w:t>
            </w:r>
          </w:p>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p>
        </w:tc>
        <w:tc>
          <w:tcPr>
            <w:tcW w:w="483" w:type="dxa"/>
            <w:vMerge w:val="restart"/>
            <w:tcBorders>
              <w:tl2br w:val="nil"/>
              <w:tr2bl w:val="nil"/>
            </w:tcBorders>
            <w:vAlign w:val="center"/>
          </w:tcPr>
          <w:p>
            <w:pPr>
              <w:pStyle w:val="16"/>
              <w:rPr>
                <w:rFonts w:hint="default" w:ascii="Times New Roman" w:hAnsi="Times New Roman" w:cs="Times New Roman"/>
                <w:color w:val="auto"/>
                <w:highlight w:val="none"/>
              </w:rPr>
            </w:pPr>
            <w:r>
              <w:rPr>
                <w:rFonts w:hint="default" w:ascii="Times New Roman" w:hAnsi="Times New Roman" w:cs="Times New Roman"/>
                <w:color w:val="auto"/>
                <w:highlight w:val="none"/>
              </w:rPr>
              <w:t>沸点</w:t>
            </w:r>
          </w:p>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p>
        </w:tc>
        <w:tc>
          <w:tcPr>
            <w:tcW w:w="712" w:type="dxa"/>
            <w:vMerge w:val="restart"/>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爆炸</w:t>
            </w:r>
          </w:p>
          <w:p>
            <w:pPr>
              <w:pStyle w:val="16"/>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极限%(Vol)</w:t>
            </w:r>
          </w:p>
        </w:tc>
        <w:tc>
          <w:tcPr>
            <w:tcW w:w="1921"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kern w:val="0"/>
                <w:sz w:val="21"/>
                <w:szCs w:val="21"/>
                <w:highlight w:val="none"/>
                <w:lang w:val="en-US" w:eastAsia="zh-CN" w:bidi="ar-SA"/>
              </w:rPr>
              <w:t>状态及溶解性</w:t>
            </w:r>
          </w:p>
        </w:tc>
        <w:tc>
          <w:tcPr>
            <w:tcW w:w="1517"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0"/>
                <w:sz w:val="21"/>
                <w:szCs w:val="21"/>
                <w:highlight w:val="none"/>
                <w:lang w:val="en-US" w:eastAsia="zh-CN" w:bidi="ar-SA"/>
              </w:rPr>
              <w:t>燃爆危险性</w:t>
            </w:r>
          </w:p>
        </w:tc>
        <w:tc>
          <w:tcPr>
            <w:tcW w:w="1586" w:type="dxa"/>
            <w:gridSpan w:val="2"/>
            <w:tcBorders>
              <w:tl2br w:val="nil"/>
              <w:tr2bl w:val="nil"/>
            </w:tcBorders>
            <w:vAlign w:val="center"/>
          </w:tcPr>
          <w:p>
            <w:pPr>
              <w:pStyle w:val="16"/>
              <w:ind w:left="0" w:lef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毒性（mg/kg）</w:t>
            </w:r>
          </w:p>
        </w:tc>
        <w:tc>
          <w:tcPr>
            <w:tcW w:w="70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498"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highlight w:val="none"/>
              </w:rPr>
            </w:pPr>
          </w:p>
        </w:tc>
        <w:tc>
          <w:tcPr>
            <w:tcW w:w="70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highlight w:val="none"/>
              </w:rPr>
            </w:pPr>
          </w:p>
        </w:tc>
        <w:tc>
          <w:tcPr>
            <w:tcW w:w="4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highlight w:val="none"/>
              </w:rPr>
            </w:pPr>
          </w:p>
        </w:tc>
        <w:tc>
          <w:tcPr>
            <w:tcW w:w="50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highlight w:val="none"/>
              </w:rPr>
            </w:pPr>
          </w:p>
        </w:tc>
        <w:tc>
          <w:tcPr>
            <w:tcW w:w="48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highlight w:val="none"/>
              </w:rPr>
            </w:pPr>
          </w:p>
        </w:tc>
        <w:tc>
          <w:tcPr>
            <w:tcW w:w="71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highlight w:val="none"/>
              </w:rPr>
            </w:pPr>
          </w:p>
        </w:tc>
        <w:tc>
          <w:tcPr>
            <w:tcW w:w="1921"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highlight w:val="none"/>
              </w:rPr>
            </w:pPr>
          </w:p>
        </w:tc>
        <w:tc>
          <w:tcPr>
            <w:tcW w:w="1517"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highlight w:val="none"/>
              </w:rPr>
            </w:pPr>
          </w:p>
        </w:tc>
        <w:tc>
          <w:tcPr>
            <w:tcW w:w="867" w:type="dxa"/>
            <w:tcBorders>
              <w:tl2br w:val="nil"/>
              <w:tr2bl w:val="nil"/>
            </w:tcBorders>
            <w:vAlign w:val="center"/>
          </w:tcPr>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LD</w:t>
            </w:r>
            <w:r>
              <w:rPr>
                <w:rFonts w:hint="default" w:ascii="Times New Roman" w:hAnsi="Times New Roman" w:cs="Times New Roman"/>
                <w:color w:val="auto"/>
                <w:highlight w:val="none"/>
                <w:vertAlign w:val="subscript"/>
              </w:rPr>
              <w:t>50</w:t>
            </w:r>
          </w:p>
        </w:tc>
        <w:tc>
          <w:tcPr>
            <w:tcW w:w="719" w:type="dxa"/>
            <w:tcBorders>
              <w:tl2br w:val="nil"/>
              <w:tr2bl w:val="nil"/>
            </w:tcBorders>
            <w:vAlign w:val="center"/>
          </w:tcPr>
          <w:p>
            <w:pPr>
              <w:pStyle w:val="16"/>
              <w:rPr>
                <w:rFonts w:hint="default" w:ascii="Times New Roman" w:hAnsi="Times New Roman" w:cs="Times New Roman"/>
                <w:color w:val="auto"/>
                <w:highlight w:val="none"/>
                <w:vertAlign w:val="subscript"/>
              </w:rPr>
            </w:pPr>
            <w:r>
              <w:rPr>
                <w:rFonts w:hint="default" w:ascii="Times New Roman" w:hAnsi="Times New Roman" w:cs="Times New Roman"/>
                <w:color w:val="auto"/>
                <w:highlight w:val="none"/>
              </w:rPr>
              <w:t>LC</w:t>
            </w:r>
            <w:r>
              <w:rPr>
                <w:rFonts w:hint="default" w:ascii="Times New Roman" w:hAnsi="Times New Roman" w:cs="Times New Roman"/>
                <w:color w:val="auto"/>
                <w:highlight w:val="none"/>
                <w:vertAlign w:val="subscript"/>
              </w:rPr>
              <w:t>50</w:t>
            </w:r>
          </w:p>
          <w:p>
            <w:pPr>
              <w:pStyle w:val="1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rPr>
              <w:t>3</w:t>
            </w:r>
          </w:p>
        </w:tc>
        <w:tc>
          <w:tcPr>
            <w:tcW w:w="70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8"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PU树脂</w:t>
            </w:r>
          </w:p>
        </w:tc>
        <w:tc>
          <w:tcPr>
            <w:tcW w:w="702"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450"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500"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23-61</w:t>
            </w:r>
          </w:p>
        </w:tc>
        <w:tc>
          <w:tcPr>
            <w:tcW w:w="483"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712"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1921"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黄色至褐色粘稠液体，</w:t>
            </w:r>
            <w:r>
              <w:rPr>
                <w:rFonts w:hint="default" w:ascii="Times New Roman" w:hAnsi="Times New Roman" w:cs="Times New Roman"/>
                <w:color w:val="auto"/>
                <w:kern w:val="0"/>
                <w:sz w:val="21"/>
                <w:szCs w:val="21"/>
                <w:highlight w:val="none"/>
                <w:lang w:val="en-US" w:eastAsia="zh-CN" w:bidi="ar-SA"/>
              </w:rPr>
              <w:t>含55%DMF，固含量为30%。</w:t>
            </w:r>
            <w:r>
              <w:rPr>
                <w:rFonts w:hint="default" w:ascii="Times New Roman" w:hAnsi="Times New Roman" w:eastAsia="宋体" w:cs="Times New Roman"/>
                <w:color w:val="auto"/>
                <w:kern w:val="0"/>
                <w:sz w:val="21"/>
                <w:szCs w:val="21"/>
                <w:highlight w:val="none"/>
                <w:lang w:val="en-US" w:eastAsia="zh-CN" w:bidi="ar-SA"/>
              </w:rPr>
              <w:t>不溶于水，溶于苯乙烯、二甲苯等有机溶剂</w:t>
            </w:r>
            <w:r>
              <w:rPr>
                <w:rFonts w:hint="default" w:ascii="Times New Roman" w:hAnsi="Times New Roman" w:cs="Times New Roman"/>
                <w:color w:val="auto"/>
                <w:kern w:val="0"/>
                <w:sz w:val="21"/>
                <w:szCs w:val="21"/>
                <w:highlight w:val="none"/>
                <w:lang w:val="en-US" w:eastAsia="zh-CN" w:bidi="ar-SA"/>
              </w:rPr>
              <w:t>。</w:t>
            </w:r>
          </w:p>
        </w:tc>
        <w:tc>
          <w:tcPr>
            <w:tcW w:w="151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highlight w:val="none"/>
              </w:rPr>
              <w:t>其蒸气能与空气形成爆炸性混合物。遇高温、明火、氧化剂有引起燃烧危险。</w:t>
            </w:r>
          </w:p>
        </w:tc>
        <w:tc>
          <w:tcPr>
            <w:tcW w:w="86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719"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p>
        </w:tc>
        <w:tc>
          <w:tcPr>
            <w:tcW w:w="703"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498"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DMF</w:t>
            </w:r>
          </w:p>
        </w:tc>
        <w:tc>
          <w:tcPr>
            <w:tcW w:w="702"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0.94</w:t>
            </w:r>
          </w:p>
        </w:tc>
        <w:tc>
          <w:tcPr>
            <w:tcW w:w="450"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-61</w:t>
            </w:r>
          </w:p>
        </w:tc>
        <w:tc>
          <w:tcPr>
            <w:tcW w:w="500"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58</w:t>
            </w:r>
          </w:p>
        </w:tc>
        <w:tc>
          <w:tcPr>
            <w:tcW w:w="483"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152.8</w:t>
            </w:r>
          </w:p>
        </w:tc>
        <w:tc>
          <w:tcPr>
            <w:tcW w:w="712"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2.2-15.2</w:t>
            </w:r>
          </w:p>
        </w:tc>
        <w:tc>
          <w:tcPr>
            <w:tcW w:w="1921"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无色液体，有微弱特殊臭味，可混溶于水及多数有机物。</w:t>
            </w:r>
          </w:p>
        </w:tc>
        <w:tc>
          <w:tcPr>
            <w:tcW w:w="1517"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易燃、遇明火、高热或氧化剂，有燃爆危险</w:t>
            </w:r>
          </w:p>
        </w:tc>
        <w:tc>
          <w:tcPr>
            <w:tcW w:w="86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2800</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大鼠经口</w:t>
            </w:r>
          </w:p>
        </w:tc>
        <w:tc>
          <w:tcPr>
            <w:tcW w:w="719"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9400</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2小时</w:t>
            </w:r>
            <w:r>
              <w:rPr>
                <w:rFonts w:hint="default" w:ascii="Times New Roman" w:hAnsi="Times New Roman" w:cs="Times New Roman"/>
                <w:color w:val="auto"/>
                <w:kern w:val="0"/>
                <w:sz w:val="21"/>
                <w:szCs w:val="21"/>
                <w:highlight w:val="none"/>
                <w:vertAlign w:val="baseline"/>
                <w:lang w:val="en-US" w:eastAsia="zh-CN" w:bidi="ar-SA"/>
              </w:rPr>
              <w:t>，</w:t>
            </w:r>
            <w:r>
              <w:rPr>
                <w:rFonts w:hint="default" w:ascii="Times New Roman" w:hAnsi="Times New Roman" w:eastAsia="宋体" w:cs="Times New Roman"/>
                <w:color w:val="auto"/>
                <w:kern w:val="0"/>
                <w:sz w:val="21"/>
                <w:szCs w:val="21"/>
                <w:highlight w:val="none"/>
                <w:vertAlign w:val="baseline"/>
                <w:lang w:val="en-US" w:eastAsia="zh-CN" w:bidi="ar-SA"/>
              </w:rPr>
              <w:t>小鼠吸入</w:t>
            </w:r>
          </w:p>
        </w:tc>
        <w:tc>
          <w:tcPr>
            <w:tcW w:w="703"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498"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70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4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50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48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71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1921"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1517"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86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5000</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兔经皮</w:t>
            </w:r>
          </w:p>
        </w:tc>
        <w:tc>
          <w:tcPr>
            <w:tcW w:w="719"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p>
        </w:tc>
        <w:tc>
          <w:tcPr>
            <w:tcW w:w="70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498"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DMF废液</w:t>
            </w:r>
          </w:p>
        </w:tc>
        <w:tc>
          <w:tcPr>
            <w:tcW w:w="702"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450"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500"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483"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712"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921"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含DMF10.22%，COD≥10000mg/L废液</w:t>
            </w:r>
          </w:p>
        </w:tc>
        <w:tc>
          <w:tcPr>
            <w:tcW w:w="151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86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719"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703"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498"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机油</w:t>
            </w:r>
          </w:p>
        </w:tc>
        <w:tc>
          <w:tcPr>
            <w:tcW w:w="702"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0.85</w:t>
            </w:r>
          </w:p>
        </w:tc>
        <w:tc>
          <w:tcPr>
            <w:tcW w:w="450"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500"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76</w:t>
            </w:r>
          </w:p>
        </w:tc>
        <w:tc>
          <w:tcPr>
            <w:tcW w:w="483"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712"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1921"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淡黄色粘稠物，不溶于水。</w:t>
            </w:r>
          </w:p>
        </w:tc>
        <w:tc>
          <w:tcPr>
            <w:tcW w:w="151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遇明火高热可燃</w:t>
            </w:r>
          </w:p>
        </w:tc>
        <w:tc>
          <w:tcPr>
            <w:tcW w:w="867"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719"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c>
          <w:tcPr>
            <w:tcW w:w="703"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w:t>
            </w:r>
          </w:p>
        </w:tc>
      </w:tr>
    </w:tbl>
    <w:p>
      <w:pPr>
        <w:pStyle w:val="16"/>
        <w:rPr>
          <w:rFonts w:hint="default" w:ascii="Times New Roman" w:hAnsi="Times New Roman" w:cs="Times New Roman"/>
          <w:color w:val="auto"/>
          <w:highlight w:val="none"/>
          <w:lang w:val="en-US" w:eastAsia="zh-CN"/>
        </w:rPr>
      </w:pPr>
    </w:p>
    <w:p>
      <w:pPr>
        <w:pStyle w:val="4"/>
        <w:numPr>
          <w:ilvl w:val="2"/>
          <w:numId w:val="10"/>
        </w:numP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环境敏感目标调查</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本项目周边环境敏感目标见表3.4-1。</w:t>
      </w:r>
    </w:p>
    <w:p>
      <w:pPr>
        <w:pStyle w:val="2"/>
        <w:numPr>
          <w:ilvl w:val="1"/>
          <w:numId w:val="10"/>
        </w:numPr>
        <w:tabs>
          <w:tab w:val="left" w:pos="420"/>
          <w:tab w:val="clear" w:pos="0"/>
        </w:tabs>
        <w:adjustRightInd w:val="0"/>
        <w:snapToGrid w:val="0"/>
        <w:spacing w:before="240" w:after="240"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环境风险潜势初判</w:t>
      </w:r>
    </w:p>
    <w:p>
      <w:pPr>
        <w:pStyle w:val="4"/>
        <w:numPr>
          <w:ilvl w:val="2"/>
          <w:numId w:val="10"/>
        </w:num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危险物质数量与临界量比值（Q）</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根据《建设项目环境风险评价技术导则》（HJ169-2018）附录C危险性物质及工艺系统危险性（P）的分级中“C.1.1 危险物质数量与临界量比值（Q）”：</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当只涉及一种危险物质时，计算该物质的总量与其临界量比值，即为Q；当存在多种危险物质时，则按式（C.1）计算物质总量与其临界量比值（Q）：</w:t>
      </w:r>
    </w:p>
    <w:p>
      <w:pPr>
        <w:spacing w:line="360" w:lineRule="auto"/>
        <w:ind w:left="0" w:leftChars="0" w:firstLine="0" w:firstLineChars="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Q=q</w:t>
      </w:r>
      <w:r>
        <w:rPr>
          <w:rFonts w:hint="default" w:ascii="Times New Roman" w:hAnsi="Times New Roman" w:eastAsia="宋体" w:cs="Times New Roman"/>
          <w:color w:val="auto"/>
          <w:sz w:val="24"/>
          <w:highlight w:val="none"/>
          <w:vertAlign w:val="subscript"/>
          <w:lang w:val="en-US" w:eastAsia="zh-CN"/>
        </w:rPr>
        <w:t>1</w:t>
      </w:r>
      <w:r>
        <w:rPr>
          <w:rFonts w:hint="default" w:ascii="Times New Roman" w:hAnsi="Times New Roman" w:eastAsia="宋体" w:cs="Times New Roman"/>
          <w:color w:val="auto"/>
          <w:sz w:val="24"/>
          <w:highlight w:val="none"/>
          <w:lang w:val="en-US" w:eastAsia="zh-CN"/>
        </w:rPr>
        <w:t>/Q</w:t>
      </w:r>
      <w:r>
        <w:rPr>
          <w:rFonts w:hint="default" w:ascii="Times New Roman" w:hAnsi="Times New Roman" w:eastAsia="宋体" w:cs="Times New Roman"/>
          <w:color w:val="auto"/>
          <w:sz w:val="24"/>
          <w:highlight w:val="none"/>
          <w:vertAlign w:val="subscript"/>
          <w:lang w:val="en-US" w:eastAsia="zh-CN"/>
        </w:rPr>
        <w:t>1</w:t>
      </w:r>
      <w:r>
        <w:rPr>
          <w:rFonts w:hint="default" w:ascii="Times New Roman" w:hAnsi="Times New Roman" w:eastAsia="宋体" w:cs="Times New Roman"/>
          <w:color w:val="auto"/>
          <w:sz w:val="24"/>
          <w:highlight w:val="none"/>
          <w:lang w:val="en-US" w:eastAsia="zh-CN"/>
        </w:rPr>
        <w:t>+q</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/Q</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+…+q</w:t>
      </w:r>
      <w:r>
        <w:rPr>
          <w:rFonts w:hint="default" w:ascii="Times New Roman" w:hAnsi="Times New Roman" w:eastAsia="宋体" w:cs="Times New Roman"/>
          <w:color w:val="auto"/>
          <w:sz w:val="24"/>
          <w:highlight w:val="none"/>
          <w:vertAlign w:val="subscript"/>
          <w:lang w:val="en-US" w:eastAsia="zh-CN"/>
        </w:rPr>
        <w:t>n</w:t>
      </w:r>
      <w:r>
        <w:rPr>
          <w:rFonts w:hint="default" w:ascii="Times New Roman" w:hAnsi="Times New Roman" w:eastAsia="宋体" w:cs="Times New Roman"/>
          <w:color w:val="auto"/>
          <w:sz w:val="24"/>
          <w:highlight w:val="none"/>
          <w:lang w:val="en-US" w:eastAsia="zh-CN"/>
        </w:rPr>
        <w:t>/Q</w:t>
      </w:r>
      <w:r>
        <w:rPr>
          <w:rFonts w:hint="default" w:ascii="Times New Roman" w:hAnsi="Times New Roman" w:eastAsia="宋体" w:cs="Times New Roman"/>
          <w:color w:val="auto"/>
          <w:sz w:val="24"/>
          <w:highlight w:val="none"/>
          <w:vertAlign w:val="subscript"/>
          <w:lang w:val="en-US" w:eastAsia="zh-CN"/>
        </w:rPr>
        <w:t>n</w:t>
      </w:r>
      <w:r>
        <w:rPr>
          <w:rFonts w:hint="default" w:ascii="Times New Roman" w:hAnsi="Times New Roman" w:eastAsia="宋体" w:cs="Times New Roman"/>
          <w:color w:val="auto"/>
          <w:sz w:val="24"/>
          <w:highlight w:val="none"/>
          <w:lang w:val="en-US" w:eastAsia="zh-CN"/>
        </w:rPr>
        <w:t>（C.1）</w:t>
      </w:r>
    </w:p>
    <w:p>
      <w:pPr>
        <w:spacing w:line="360" w:lineRule="auto"/>
        <w:ind w:left="0" w:leftChars="0" w:firstLine="0" w:firstLineChars="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式中：q</w:t>
      </w:r>
      <w:r>
        <w:rPr>
          <w:rFonts w:hint="default" w:ascii="Times New Roman" w:hAnsi="Times New Roman" w:eastAsia="宋体" w:cs="Times New Roman"/>
          <w:color w:val="auto"/>
          <w:sz w:val="24"/>
          <w:highlight w:val="none"/>
          <w:vertAlign w:val="subscript"/>
          <w:lang w:val="en-US" w:eastAsia="zh-CN"/>
        </w:rPr>
        <w:t>1</w:t>
      </w:r>
      <w:r>
        <w:rPr>
          <w:rFonts w:hint="default" w:ascii="Times New Roman" w:hAnsi="Times New Roman" w:eastAsia="宋体" w:cs="Times New Roman"/>
          <w:color w:val="auto"/>
          <w:sz w:val="24"/>
          <w:highlight w:val="none"/>
          <w:lang w:val="en-US" w:eastAsia="zh-CN"/>
        </w:rPr>
        <w:t>，q</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，...，q</w:t>
      </w:r>
      <w:r>
        <w:rPr>
          <w:rFonts w:hint="default" w:ascii="Times New Roman" w:hAnsi="Times New Roman" w:eastAsia="宋体" w:cs="Times New Roman"/>
          <w:color w:val="auto"/>
          <w:sz w:val="24"/>
          <w:highlight w:val="none"/>
          <w:vertAlign w:val="subscript"/>
          <w:lang w:val="en-US" w:eastAsia="zh-CN"/>
        </w:rPr>
        <w:t>n</w:t>
      </w:r>
      <w:r>
        <w:rPr>
          <w:rFonts w:hint="default" w:ascii="Times New Roman" w:hAnsi="Times New Roman" w:eastAsia="宋体" w:cs="Times New Roman"/>
          <w:color w:val="auto"/>
          <w:sz w:val="24"/>
          <w:highlight w:val="none"/>
          <w:lang w:val="en-US" w:eastAsia="zh-CN"/>
        </w:rPr>
        <w:t xml:space="preserve">——每种危险物质的最大存在总量，t； </w:t>
      </w:r>
    </w:p>
    <w:p>
      <w:pPr>
        <w:spacing w:line="360" w:lineRule="auto"/>
        <w:ind w:firstLine="720" w:firstLineChars="3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Q</w:t>
      </w:r>
      <w:r>
        <w:rPr>
          <w:rFonts w:hint="default" w:ascii="Times New Roman" w:hAnsi="Times New Roman" w:eastAsia="宋体" w:cs="Times New Roman"/>
          <w:color w:val="auto"/>
          <w:sz w:val="24"/>
          <w:highlight w:val="none"/>
          <w:vertAlign w:val="subscript"/>
          <w:lang w:val="en-US" w:eastAsia="zh-CN"/>
        </w:rPr>
        <w:t>1</w:t>
      </w:r>
      <w:r>
        <w:rPr>
          <w:rFonts w:hint="default" w:ascii="Times New Roman" w:hAnsi="Times New Roman" w:eastAsia="宋体" w:cs="Times New Roman"/>
          <w:color w:val="auto"/>
          <w:sz w:val="24"/>
          <w:highlight w:val="none"/>
          <w:lang w:val="en-US" w:eastAsia="zh-CN"/>
        </w:rPr>
        <w:t>，Q</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...，Q</w:t>
      </w:r>
      <w:r>
        <w:rPr>
          <w:rFonts w:hint="default" w:ascii="Times New Roman" w:hAnsi="Times New Roman" w:eastAsia="宋体" w:cs="Times New Roman"/>
          <w:color w:val="auto"/>
          <w:sz w:val="24"/>
          <w:highlight w:val="none"/>
          <w:vertAlign w:val="subscript"/>
          <w:lang w:val="en-US" w:eastAsia="zh-CN"/>
        </w:rPr>
        <w:t>n</w:t>
      </w:r>
      <w:r>
        <w:rPr>
          <w:rFonts w:hint="default" w:ascii="Times New Roman" w:hAnsi="Times New Roman" w:eastAsia="宋体" w:cs="Times New Roman"/>
          <w:color w:val="auto"/>
          <w:sz w:val="24"/>
          <w:highlight w:val="none"/>
          <w:lang w:val="en-US" w:eastAsia="zh-CN"/>
        </w:rPr>
        <w:t>——每种危险物质的临界量，t。</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当Q＜1时，该项目环境风险潜势为Ⅰ。</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当Q≥1时，将Q值划分为：（1）</w:t>
      </w:r>
      <w:r>
        <w:rPr>
          <w:rFonts w:hint="default" w:ascii="Times New Roman" w:hAnsi="Times New Roman" w:cs="Times New Roman"/>
          <w:color w:val="auto"/>
          <w:sz w:val="24"/>
          <w:highlight w:val="none"/>
          <w:lang w:val="en-US" w:eastAsia="zh-CN"/>
        </w:rPr>
        <w:t>1≤Q＜10</w:t>
      </w:r>
      <w:r>
        <w:rPr>
          <w:rFonts w:hint="default" w:ascii="Times New Roman" w:hAnsi="Times New Roman" w:eastAsia="宋体" w:cs="Times New Roman"/>
          <w:color w:val="auto"/>
          <w:sz w:val="24"/>
          <w:highlight w:val="none"/>
          <w:lang w:val="en-US" w:eastAsia="zh-CN"/>
        </w:rPr>
        <w:t>；（2）10≤Q＜100；（3）Q≥100。</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结合项目风险源危险性及临界量Q值的计算公式，可确定项目涉气危险物质数量与临界量比值Q值见表3.1-1。</w:t>
      </w:r>
    </w:p>
    <w:p>
      <w:pPr>
        <w:keepNext/>
        <w:keepLines/>
        <w:widowControl w:val="0"/>
        <w:numPr>
          <w:ilvl w:val="4"/>
          <w:numId w:val="12"/>
        </w:numPr>
        <w:bidi w:val="0"/>
        <w:spacing w:beforeAutospacing="0" w:afterLines="0" w:afterAutospacing="0" w:line="360" w:lineRule="auto"/>
        <w:ind w:left="0" w:leftChars="0" w:firstLine="0" w:firstLineChars="0"/>
        <w:jc w:val="center"/>
        <w:outlineLvl w:val="4"/>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表3.1-1 全厂Q值计算一览表</w:t>
      </w:r>
    </w:p>
    <w:tbl>
      <w:tblPr>
        <w:tblStyle w:val="11"/>
        <w:tblW w:w="9287"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4"/>
        <w:gridCol w:w="2404"/>
        <w:gridCol w:w="1161"/>
        <w:gridCol w:w="1776"/>
        <w:gridCol w:w="1577"/>
        <w:gridCol w:w="157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
              </w:rPr>
              <w:t>序号</w:t>
            </w:r>
          </w:p>
        </w:tc>
        <w:tc>
          <w:tcPr>
            <w:tcW w:w="240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名称</w:t>
            </w:r>
          </w:p>
        </w:tc>
        <w:tc>
          <w:tcPr>
            <w:tcW w:w="116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
              </w:rPr>
              <w:t>CA</w:t>
            </w:r>
            <w:r>
              <w:rPr>
                <w:rFonts w:hint="default" w:ascii="Times New Roman" w:hAnsi="Times New Roman" w:eastAsia="宋体" w:cs="Times New Roman"/>
                <w:color w:val="auto"/>
                <w:kern w:val="2"/>
                <w:sz w:val="21"/>
                <w:szCs w:val="21"/>
                <w:highlight w:val="none"/>
                <w:lang w:val="en-US" w:eastAsia="zh-CN" w:bidi="ar"/>
              </w:rPr>
              <w:t>S</w:t>
            </w:r>
            <w:r>
              <w:rPr>
                <w:rFonts w:hint="default" w:ascii="Times New Roman" w:hAnsi="Times New Roman" w:eastAsia="宋体" w:cs="Times New Roman"/>
                <w:color w:val="auto"/>
                <w:spacing w:val="-2"/>
                <w:kern w:val="2"/>
                <w:sz w:val="21"/>
                <w:szCs w:val="21"/>
                <w:highlight w:val="none"/>
                <w:lang w:val="en-US" w:eastAsia="zh-CN" w:bidi="ar"/>
              </w:rPr>
              <w:t xml:space="preserve"> </w:t>
            </w:r>
            <w:r>
              <w:rPr>
                <w:rFonts w:hint="default" w:ascii="Times New Roman" w:hAnsi="Times New Roman" w:eastAsia="宋体" w:cs="Times New Roman"/>
                <w:color w:val="auto"/>
                <w:kern w:val="2"/>
                <w:sz w:val="21"/>
                <w:szCs w:val="21"/>
                <w:highlight w:val="none"/>
                <w:lang w:val="en-US" w:eastAsia="zh-CN" w:bidi="ar"/>
              </w:rPr>
              <w:t>号</w:t>
            </w:r>
          </w:p>
        </w:tc>
        <w:tc>
          <w:tcPr>
            <w:tcW w:w="177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最大存量（t）</w:t>
            </w:r>
          </w:p>
        </w:tc>
        <w:tc>
          <w:tcPr>
            <w:tcW w:w="157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临界量/t</w:t>
            </w:r>
          </w:p>
        </w:tc>
        <w:tc>
          <w:tcPr>
            <w:tcW w:w="157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∑qn/Qn</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1</w:t>
            </w:r>
          </w:p>
        </w:tc>
        <w:tc>
          <w:tcPr>
            <w:tcW w:w="2404" w:type="dxa"/>
            <w:tcBorders>
              <w:tl2br w:val="nil"/>
              <w:tr2bl w:val="nil"/>
            </w:tcBorders>
            <w:vAlign w:val="center"/>
          </w:tcPr>
          <w:p>
            <w:pPr>
              <w:widowControl/>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机油</w:t>
            </w:r>
          </w:p>
        </w:tc>
        <w:tc>
          <w:tcPr>
            <w:tcW w:w="1161" w:type="dxa"/>
            <w:tcBorders>
              <w:tl2br w:val="nil"/>
              <w:tr2bl w:val="nil"/>
            </w:tcBorders>
            <w:vAlign w:val="center"/>
          </w:tcPr>
          <w:p>
            <w:pPr>
              <w:widowControl/>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1776" w:type="dxa"/>
            <w:tcBorders>
              <w:tl2br w:val="nil"/>
              <w:tr2bl w:val="nil"/>
            </w:tcBorders>
            <w:vAlign w:val="center"/>
          </w:tcPr>
          <w:p>
            <w:pPr>
              <w:widowControl/>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0.2</w:t>
            </w:r>
          </w:p>
        </w:tc>
        <w:tc>
          <w:tcPr>
            <w:tcW w:w="1577" w:type="dxa"/>
            <w:tcBorders>
              <w:tl2br w:val="nil"/>
              <w:tr2bl w:val="nil"/>
            </w:tcBorders>
            <w:vAlign w:val="center"/>
          </w:tcPr>
          <w:p>
            <w:pPr>
              <w:widowControl/>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2500</w:t>
            </w:r>
          </w:p>
        </w:tc>
        <w:tc>
          <w:tcPr>
            <w:tcW w:w="157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0.00008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2</w:t>
            </w:r>
          </w:p>
        </w:tc>
        <w:tc>
          <w:tcPr>
            <w:tcW w:w="240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DMF</w:t>
            </w:r>
          </w:p>
        </w:tc>
        <w:tc>
          <w:tcPr>
            <w:tcW w:w="11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sz w:val="21"/>
                <w:szCs w:val="21"/>
                <w:highlight w:val="none"/>
              </w:rPr>
              <w:t>68-12-2</w:t>
            </w:r>
          </w:p>
        </w:tc>
        <w:tc>
          <w:tcPr>
            <w:tcW w:w="177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8</w:t>
            </w:r>
            <w:r>
              <w:rPr>
                <w:rFonts w:hint="eastAsia" w:cs="Times New Roman"/>
                <w:color w:val="auto"/>
                <w:kern w:val="2"/>
                <w:sz w:val="21"/>
                <w:szCs w:val="21"/>
                <w:highlight w:val="none"/>
                <w:lang w:val="en-US" w:eastAsia="zh-CN" w:bidi="ar"/>
              </w:rPr>
              <w:t>1</w:t>
            </w:r>
          </w:p>
        </w:tc>
        <w:tc>
          <w:tcPr>
            <w:tcW w:w="157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5</w:t>
            </w:r>
          </w:p>
        </w:tc>
        <w:tc>
          <w:tcPr>
            <w:tcW w:w="157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16.</w:t>
            </w:r>
            <w:r>
              <w:rPr>
                <w:rFonts w:hint="eastAsia" w:cs="Times New Roman"/>
                <w:color w:val="auto"/>
                <w:kern w:val="2"/>
                <w:sz w:val="21"/>
                <w:szCs w:val="21"/>
                <w:highlight w:val="none"/>
                <w:lang w:val="en-US" w:eastAsia="zh-CN" w:bidi="ar"/>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3</w:t>
            </w:r>
          </w:p>
        </w:tc>
        <w:tc>
          <w:tcPr>
            <w:tcW w:w="240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DMF废液（COD≥10000mg/L的有机废液）</w:t>
            </w:r>
          </w:p>
        </w:tc>
        <w:tc>
          <w:tcPr>
            <w:tcW w:w="11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177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267.67</w:t>
            </w:r>
          </w:p>
        </w:tc>
        <w:tc>
          <w:tcPr>
            <w:tcW w:w="157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10</w:t>
            </w:r>
          </w:p>
        </w:tc>
        <w:tc>
          <w:tcPr>
            <w:tcW w:w="157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2</w:t>
            </w:r>
            <w:r>
              <w:rPr>
                <w:rFonts w:hint="eastAsia" w:cs="Times New Roman"/>
                <w:color w:val="auto"/>
                <w:kern w:val="2"/>
                <w:sz w:val="21"/>
                <w:szCs w:val="21"/>
                <w:highlight w:val="none"/>
                <w:lang w:val="en-US" w:eastAsia="zh-CN" w:bidi="ar"/>
              </w:rPr>
              <w:t>6.767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2" w:type="dxa"/>
            <w:gridSpan w:val="5"/>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合计</w:t>
            </w:r>
          </w:p>
        </w:tc>
        <w:tc>
          <w:tcPr>
            <w:tcW w:w="157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42.96708</w:t>
            </w:r>
          </w:p>
        </w:tc>
      </w:tr>
    </w:tbl>
    <w:p>
      <w:pPr>
        <w:rPr>
          <w:rFonts w:hint="default" w:ascii="Times New Roman" w:hAnsi="Times New Roman" w:cs="Times New Roman"/>
          <w:color w:val="auto"/>
          <w:highlight w:val="none"/>
          <w:lang w:val="en-US" w:eastAsia="zh-CN"/>
        </w:rPr>
      </w:pPr>
    </w:p>
    <w:p>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经上表计算，本项目环境突发环境事故风险物质实际贮存量与临界量比值Q=</w:t>
      </w:r>
      <w:r>
        <w:rPr>
          <w:rFonts w:hint="eastAsia" w:cs="Times New Roman"/>
          <w:color w:val="auto"/>
          <w:sz w:val="24"/>
          <w:highlight w:val="none"/>
          <w:lang w:val="en-US" w:eastAsia="zh-CN"/>
        </w:rPr>
        <w:t>42.96708</w:t>
      </w:r>
      <w:r>
        <w:rPr>
          <w:rFonts w:hint="default" w:ascii="Times New Roman" w:hAnsi="Times New Roman" w:eastAsia="宋体" w:cs="Times New Roman"/>
          <w:color w:val="auto"/>
          <w:sz w:val="24"/>
          <w:highlight w:val="none"/>
          <w:lang w:val="en-US" w:eastAsia="zh-CN"/>
        </w:rPr>
        <w:t>，位于1</w:t>
      </w:r>
      <w:r>
        <w:rPr>
          <w:rFonts w:hint="default" w:ascii="Times New Roman" w:hAnsi="Times New Roman" w:cs="Times New Roman"/>
          <w:color w:val="auto"/>
          <w:sz w:val="24"/>
          <w:highlight w:val="none"/>
          <w:lang w:val="en-US" w:eastAsia="zh-CN"/>
        </w:rPr>
        <w:t>0</w:t>
      </w:r>
      <w:r>
        <w:rPr>
          <w:rFonts w:hint="default" w:ascii="Times New Roman" w:hAnsi="Times New Roman" w:eastAsia="宋体" w:cs="Times New Roman"/>
          <w:color w:val="auto"/>
          <w:sz w:val="24"/>
          <w:highlight w:val="none"/>
          <w:lang w:val="en-US" w:eastAsia="zh-CN"/>
        </w:rPr>
        <w:t>≤Q＜1</w:t>
      </w:r>
      <w:r>
        <w:rPr>
          <w:rFonts w:hint="default" w:ascii="Times New Roman" w:hAnsi="Times New Roman" w:cs="Times New Roman"/>
          <w:color w:val="auto"/>
          <w:sz w:val="24"/>
          <w:highlight w:val="none"/>
          <w:lang w:val="en-US" w:eastAsia="zh-CN"/>
        </w:rPr>
        <w:t>0</w:t>
      </w:r>
      <w:r>
        <w:rPr>
          <w:rFonts w:hint="default" w:ascii="Times New Roman" w:hAnsi="Times New Roman" w:eastAsia="宋体" w:cs="Times New Roman"/>
          <w:color w:val="auto"/>
          <w:sz w:val="24"/>
          <w:highlight w:val="none"/>
          <w:lang w:val="en-US" w:eastAsia="zh-CN"/>
        </w:rPr>
        <w:t>0范围内。</w:t>
      </w:r>
    </w:p>
    <w:p>
      <w:pPr>
        <w:pStyle w:val="4"/>
        <w:numPr>
          <w:ilvl w:val="2"/>
          <w:numId w:val="10"/>
        </w:numPr>
        <w:rPr>
          <w:rFonts w:hint="default" w:ascii="Times New Roman" w:hAnsi="Times New Roman" w:eastAsia="宋体" w:cs="Times New Roman"/>
          <w:b/>
          <w:bCs/>
          <w:color w:val="auto"/>
          <w:kern w:val="0"/>
          <w:sz w:val="24"/>
          <w:szCs w:val="28"/>
          <w:highlight w:val="none"/>
          <w:lang w:val="en-US" w:eastAsia="zh-CN" w:bidi="ar-SA"/>
        </w:rPr>
      </w:pPr>
      <w:r>
        <w:rPr>
          <w:rFonts w:hint="default" w:ascii="Times New Roman" w:hAnsi="Times New Roman" w:eastAsia="宋体" w:cs="Times New Roman"/>
          <w:b/>
          <w:bCs/>
          <w:color w:val="auto"/>
          <w:kern w:val="0"/>
          <w:sz w:val="24"/>
          <w:szCs w:val="28"/>
          <w:highlight w:val="none"/>
          <w:lang w:val="en-US" w:eastAsia="zh-CN" w:bidi="ar-SA"/>
        </w:rPr>
        <w:t>行业及</w:t>
      </w:r>
      <w:r>
        <w:rPr>
          <w:rFonts w:hint="default" w:ascii="Times New Roman" w:hAnsi="Times New Roman" w:eastAsia="宋体" w:cs="Times New Roman"/>
          <w:color w:val="auto"/>
          <w:highlight w:val="none"/>
          <w:lang w:val="en-US" w:eastAsia="zh-CN"/>
        </w:rPr>
        <w:t>生产</w:t>
      </w:r>
      <w:r>
        <w:rPr>
          <w:rFonts w:hint="default" w:ascii="Times New Roman" w:hAnsi="Times New Roman" w:eastAsia="宋体" w:cs="Times New Roman"/>
          <w:b/>
          <w:bCs/>
          <w:color w:val="auto"/>
          <w:kern w:val="0"/>
          <w:sz w:val="24"/>
          <w:szCs w:val="28"/>
          <w:highlight w:val="none"/>
          <w:lang w:val="en-US" w:eastAsia="zh-CN" w:bidi="ar-SA"/>
        </w:rPr>
        <w:t>工艺</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分析项目所属行业及生产工艺特点，按照HJ169-2018《建设项目环境风险评价技术导则》表C.1评估生产工艺情况。具有多套工艺单元的项目，对每套生产工艺分别评分并求和。将M划分为（1）M＞20；（2）10＜M≤20；（3）5＜M≤10；（4）M=5，分别以M1、M2、M3、M4表示。</w:t>
      </w:r>
    </w:p>
    <w:p>
      <w:pPr>
        <w:keepNext/>
        <w:keepLines/>
        <w:widowControl w:val="0"/>
        <w:numPr>
          <w:ilvl w:val="4"/>
          <w:numId w:val="12"/>
        </w:numPr>
        <w:bidi w:val="0"/>
        <w:spacing w:beforeAutospacing="0" w:afterLines="0" w:afterAutospacing="0" w:line="360" w:lineRule="auto"/>
        <w:ind w:left="0" w:leftChars="0" w:firstLine="0" w:firstLineChars="0"/>
        <w:jc w:val="center"/>
        <w:outlineLvl w:val="4"/>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表3.2-1 企业生产工艺评估标准</w:t>
      </w:r>
    </w:p>
    <w:tbl>
      <w:tblPr>
        <w:tblStyle w:val="12"/>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5496"/>
        <w:gridCol w:w="16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70" w:type="dxa"/>
            <w:tcBorders>
              <w:tl2br w:val="nil"/>
              <w:tr2bl w:val="nil"/>
            </w:tcBorders>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行业</w:t>
            </w:r>
          </w:p>
        </w:tc>
        <w:tc>
          <w:tcPr>
            <w:tcW w:w="5496" w:type="dxa"/>
            <w:tcBorders>
              <w:tl2br w:val="nil"/>
              <w:tr2bl w:val="nil"/>
            </w:tcBorders>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评估依据</w:t>
            </w:r>
          </w:p>
        </w:tc>
        <w:tc>
          <w:tcPr>
            <w:tcW w:w="1620" w:type="dxa"/>
            <w:tcBorders>
              <w:tl2br w:val="nil"/>
              <w:tr2bl w:val="nil"/>
            </w:tcBorders>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70" w:type="dxa"/>
            <w:vMerge w:val="restart"/>
            <w:tcBorders>
              <w:tl2br w:val="nil"/>
              <w:tr2bl w:val="nil"/>
            </w:tcBorders>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石化、化工、医药、轻工、化纤、有色冶炼等</w:t>
            </w:r>
          </w:p>
        </w:tc>
        <w:tc>
          <w:tcPr>
            <w:tcW w:w="5496" w:type="dxa"/>
            <w:tcBorders>
              <w:tl2br w:val="nil"/>
              <w:tr2bl w:val="nil"/>
            </w:tcBorders>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620" w:type="dxa"/>
            <w:tcBorders>
              <w:tl2br w:val="nil"/>
              <w:tr2bl w:val="nil"/>
            </w:tcBorders>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10/每套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70" w:type="dxa"/>
            <w:vMerge w:val="continue"/>
            <w:tcBorders>
              <w:tl2br w:val="nil"/>
              <w:tr2bl w:val="nil"/>
            </w:tcBorders>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5496" w:type="dxa"/>
            <w:tcBorders>
              <w:tl2br w:val="nil"/>
              <w:tr2bl w:val="nil"/>
            </w:tcBorders>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无机酸制酸工艺、焦化工艺</w:t>
            </w:r>
          </w:p>
        </w:tc>
        <w:tc>
          <w:tcPr>
            <w:tcW w:w="1620" w:type="dxa"/>
            <w:tcBorders>
              <w:tl2br w:val="nil"/>
              <w:tr2bl w:val="nil"/>
            </w:tcBorders>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5/每套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70" w:type="dxa"/>
            <w:vMerge w:val="continue"/>
            <w:tcBorders>
              <w:tl2br w:val="nil"/>
              <w:tr2bl w:val="nil"/>
            </w:tcBorders>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5496" w:type="dxa"/>
            <w:tcBorders>
              <w:tl2br w:val="nil"/>
              <w:tr2bl w:val="nil"/>
            </w:tcBorders>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其他高温或高压、涉及易燃易爆等物质的工艺过程 a、危险物质储罐罐区</w:t>
            </w:r>
          </w:p>
        </w:tc>
        <w:tc>
          <w:tcPr>
            <w:tcW w:w="1620" w:type="dxa"/>
            <w:tcBorders>
              <w:tl2br w:val="nil"/>
              <w:tr2bl w:val="nil"/>
            </w:tcBorders>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5/每套</w:t>
            </w:r>
          </w:p>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（罐区）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70" w:type="dxa"/>
            <w:tcBorders>
              <w:tl2br w:val="nil"/>
              <w:tr2bl w:val="nil"/>
            </w:tcBorders>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管道、港口/码头等</w:t>
            </w:r>
          </w:p>
        </w:tc>
        <w:tc>
          <w:tcPr>
            <w:tcW w:w="5496" w:type="dxa"/>
            <w:tcBorders>
              <w:tl2br w:val="nil"/>
              <w:tr2bl w:val="nil"/>
            </w:tcBorders>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涉及危险物质管道运输项目、港口/码头</w:t>
            </w:r>
          </w:p>
        </w:tc>
        <w:tc>
          <w:tcPr>
            <w:tcW w:w="1620" w:type="dxa"/>
            <w:tcBorders>
              <w:tl2br w:val="nil"/>
              <w:tr2bl w:val="nil"/>
            </w:tcBorders>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70" w:type="dxa"/>
            <w:tcBorders>
              <w:tl2br w:val="nil"/>
              <w:tr2bl w:val="nil"/>
            </w:tcBorders>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石油天然气</w:t>
            </w:r>
          </w:p>
        </w:tc>
        <w:tc>
          <w:tcPr>
            <w:tcW w:w="5496" w:type="dxa"/>
            <w:tcBorders>
              <w:tl2br w:val="nil"/>
              <w:tr2bl w:val="nil"/>
            </w:tcBorders>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石油、天然气、页岩气开采（含净化）、气库（不含加气站的气库）、油库（不含加气站的油库）、油气管线b（不含城镇燃气管线）</w:t>
            </w:r>
          </w:p>
        </w:tc>
        <w:tc>
          <w:tcPr>
            <w:tcW w:w="1620" w:type="dxa"/>
            <w:tcBorders>
              <w:tl2br w:val="nil"/>
              <w:tr2bl w:val="nil"/>
            </w:tcBorders>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70" w:type="dxa"/>
            <w:tcBorders>
              <w:tl2br w:val="nil"/>
              <w:tr2bl w:val="nil"/>
            </w:tcBorders>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其他</w:t>
            </w:r>
          </w:p>
        </w:tc>
        <w:tc>
          <w:tcPr>
            <w:tcW w:w="5496" w:type="dxa"/>
            <w:tcBorders>
              <w:tl2br w:val="nil"/>
              <w:tr2bl w:val="nil"/>
            </w:tcBorders>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涉及危险物质使用、贮存的项目</w:t>
            </w:r>
          </w:p>
        </w:tc>
        <w:tc>
          <w:tcPr>
            <w:tcW w:w="1620" w:type="dxa"/>
            <w:tcBorders>
              <w:tl2br w:val="nil"/>
              <w:tr2bl w:val="nil"/>
            </w:tcBorders>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86" w:type="dxa"/>
            <w:gridSpan w:val="3"/>
            <w:tcBorders>
              <w:tl2br w:val="nil"/>
              <w:tr2bl w:val="nil"/>
            </w:tcBorders>
            <w:vAlign w:val="center"/>
          </w:tcPr>
          <w:p>
            <w:pPr>
              <w:widowControl w:val="0"/>
              <w:adjustRightInd w:val="0"/>
              <w:spacing w:line="240" w:lineRule="auto"/>
              <w:ind w:firstLine="0" w:firstLineChars="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注：a高温指工艺温度≥300℃，高压指压力容器的设计压力（P）≥10.0MPa；</w:t>
            </w:r>
          </w:p>
          <w:p>
            <w:pPr>
              <w:widowControl w:val="0"/>
              <w:adjustRightInd w:val="0"/>
              <w:spacing w:line="240" w:lineRule="auto"/>
              <w:ind w:firstLine="0" w:firstLineChars="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b</w:t>
            </w:r>
            <w:r>
              <w:rPr>
                <w:rFonts w:hint="default" w:ascii="Times New Roman" w:hAnsi="Times New Roman" w:cs="Times New Roman"/>
                <w:color w:val="auto"/>
                <w:kern w:val="0"/>
                <w:sz w:val="21"/>
                <w:szCs w:val="21"/>
                <w:highlight w:val="none"/>
                <w:lang w:val="en-US" w:eastAsia="zh-CN"/>
              </w:rPr>
              <w:t>长输管道运输项目应按站场、管线分段进行评价。</w:t>
            </w:r>
          </w:p>
        </w:tc>
      </w:tr>
    </w:tbl>
    <w:p>
      <w:pPr>
        <w:bidi w:val="0"/>
        <w:spacing w:line="240" w:lineRule="auto"/>
        <w:rPr>
          <w:rFonts w:hint="default" w:ascii="Times New Roman" w:hAnsi="Times New Roman" w:cs="Times New Roman"/>
          <w:color w:val="auto"/>
          <w:highlight w:val="none"/>
          <w:lang w:val="en-US" w:eastAsia="zh-CN"/>
        </w:rPr>
      </w:pPr>
    </w:p>
    <w:p>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cs="Times New Roman"/>
          <w:color w:val="auto"/>
          <w:sz w:val="24"/>
          <w:highlight w:val="none"/>
          <w:lang w:val="en-US" w:eastAsia="zh-CN"/>
        </w:rPr>
        <w:t>属于</w:t>
      </w:r>
      <w:r>
        <w:rPr>
          <w:rFonts w:hint="eastAsia" w:cs="Times New Roman"/>
          <w:color w:val="auto"/>
          <w:sz w:val="24"/>
          <w:highlight w:val="none"/>
          <w:lang w:val="en-US" w:eastAsia="zh-CN"/>
        </w:rPr>
        <w:t>涉及</w:t>
      </w:r>
      <w:r>
        <w:rPr>
          <w:rFonts w:hint="default" w:ascii="Times New Roman" w:hAnsi="Times New Roman" w:eastAsia="宋体" w:cs="Times New Roman"/>
          <w:color w:val="auto"/>
          <w:sz w:val="24"/>
          <w:highlight w:val="none"/>
          <w:lang w:val="en-US" w:eastAsia="zh-CN"/>
        </w:rPr>
        <w:t>危险物质使用、贮存</w:t>
      </w:r>
      <w:r>
        <w:rPr>
          <w:rFonts w:hint="eastAsia" w:cs="Times New Roman"/>
          <w:color w:val="auto"/>
          <w:sz w:val="24"/>
          <w:highlight w:val="none"/>
          <w:lang w:val="en-US" w:eastAsia="zh-CN"/>
        </w:rPr>
        <w:t>的项目</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经计算本项目M值为</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，以M</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表示。</w:t>
      </w:r>
    </w:p>
    <w:p>
      <w:pPr>
        <w:pStyle w:val="4"/>
        <w:numPr>
          <w:ilvl w:val="2"/>
          <w:numId w:val="10"/>
        </w:numPr>
        <w:rPr>
          <w:rFonts w:hint="default" w:ascii="Times New Roman" w:hAnsi="Times New Roman" w:eastAsia="宋体" w:cs="Times New Roman"/>
          <w:b/>
          <w:bCs/>
          <w:color w:val="auto"/>
          <w:kern w:val="0"/>
          <w:sz w:val="24"/>
          <w:szCs w:val="28"/>
          <w:highlight w:val="none"/>
          <w:lang w:val="en-US" w:eastAsia="zh-CN" w:bidi="ar-SA"/>
        </w:rPr>
      </w:pPr>
      <w:r>
        <w:rPr>
          <w:rFonts w:hint="default" w:ascii="Times New Roman" w:hAnsi="Times New Roman" w:eastAsia="宋体" w:cs="Times New Roman"/>
          <w:b/>
          <w:bCs/>
          <w:color w:val="auto"/>
          <w:kern w:val="0"/>
          <w:sz w:val="24"/>
          <w:szCs w:val="28"/>
          <w:highlight w:val="none"/>
          <w:lang w:val="en-US" w:eastAsia="zh-CN" w:bidi="ar-SA"/>
        </w:rPr>
        <w:t>危险物质及工艺系统危险性（P）分级</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根据危险物质数量与临界量比值（Q）和行业及生产工艺（M），按照《建设项目环境风险评价技术导则》（HJ169-2018）表C.2 危险物质及工艺系统危险性等级判断（P），详见下表。</w:t>
      </w:r>
    </w:p>
    <w:p>
      <w:pPr>
        <w:keepNext/>
        <w:keepLines/>
        <w:widowControl w:val="0"/>
        <w:numPr>
          <w:ilvl w:val="4"/>
          <w:numId w:val="12"/>
        </w:numPr>
        <w:bidi w:val="0"/>
        <w:spacing w:beforeAutospacing="0" w:afterLines="0" w:afterAutospacing="0" w:line="360" w:lineRule="auto"/>
        <w:ind w:left="0" w:leftChars="0" w:firstLine="0" w:firstLineChars="0"/>
        <w:jc w:val="center"/>
        <w:outlineLvl w:val="4"/>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表3.3-1 危险物质及工艺系统危险性等级判断（P）</w:t>
      </w:r>
    </w:p>
    <w:tbl>
      <w:tblPr>
        <w:tblStyle w:val="11"/>
        <w:tblW w:w="9060" w:type="dxa"/>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205"/>
        <w:gridCol w:w="1715"/>
        <w:gridCol w:w="1715"/>
        <w:gridCol w:w="1717"/>
        <w:gridCol w:w="1708"/>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5" w:type="dxa"/>
            <w:vMerge w:val="restart"/>
            <w:tcBorders>
              <w:top w:val="single" w:color="auto" w:sz="12"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spacing w:val="7"/>
                <w:kern w:val="2"/>
                <w:sz w:val="21"/>
                <w:szCs w:val="21"/>
                <w:highlight w:val="none"/>
                <w:lang w:val="en-US" w:eastAsia="zh-CN" w:bidi="ar"/>
              </w:rPr>
              <w:t>危</w:t>
            </w:r>
            <w:r>
              <w:rPr>
                <w:rFonts w:hint="default" w:ascii="Times New Roman" w:hAnsi="Times New Roman" w:eastAsia="宋体" w:cs="Times New Roman"/>
                <w:color w:val="auto"/>
                <w:kern w:val="2"/>
                <w:sz w:val="21"/>
                <w:szCs w:val="21"/>
                <w:highlight w:val="none"/>
                <w:lang w:val="en-US" w:eastAsia="zh-CN" w:bidi="ar"/>
              </w:rPr>
              <w:t>险物</w:t>
            </w:r>
            <w:r>
              <w:rPr>
                <w:rFonts w:hint="default" w:ascii="Times New Roman" w:hAnsi="Times New Roman" w:eastAsia="宋体" w:cs="Times New Roman"/>
                <w:color w:val="auto"/>
                <w:spacing w:val="7"/>
                <w:kern w:val="2"/>
                <w:sz w:val="21"/>
                <w:szCs w:val="21"/>
                <w:highlight w:val="none"/>
                <w:lang w:val="en-US" w:eastAsia="zh-CN" w:bidi="ar"/>
              </w:rPr>
              <w:t>质</w:t>
            </w:r>
            <w:r>
              <w:rPr>
                <w:rFonts w:hint="default" w:ascii="Times New Roman" w:hAnsi="Times New Roman" w:eastAsia="宋体" w:cs="Times New Roman"/>
                <w:color w:val="auto"/>
                <w:kern w:val="2"/>
                <w:sz w:val="21"/>
                <w:szCs w:val="21"/>
                <w:highlight w:val="none"/>
                <w:lang w:val="en-US" w:eastAsia="zh-CN" w:bidi="ar"/>
              </w:rPr>
              <w:t xml:space="preserve">数量 </w:t>
            </w:r>
            <w:r>
              <w:rPr>
                <w:rFonts w:hint="default" w:ascii="Times New Roman" w:hAnsi="Times New Roman" w:eastAsia="宋体" w:cs="Times New Roman"/>
                <w:color w:val="auto"/>
                <w:spacing w:val="7"/>
                <w:kern w:val="2"/>
                <w:sz w:val="21"/>
                <w:szCs w:val="21"/>
                <w:highlight w:val="none"/>
                <w:lang w:val="en-US" w:eastAsia="zh-CN" w:bidi="ar"/>
              </w:rPr>
              <w:t>与</w:t>
            </w:r>
            <w:r>
              <w:rPr>
                <w:rFonts w:hint="default" w:ascii="Times New Roman" w:hAnsi="Times New Roman" w:eastAsia="宋体" w:cs="Times New Roman"/>
                <w:color w:val="auto"/>
                <w:kern w:val="2"/>
                <w:sz w:val="21"/>
                <w:szCs w:val="21"/>
                <w:highlight w:val="none"/>
                <w:lang w:val="en-US" w:eastAsia="zh-CN" w:bidi="ar"/>
              </w:rPr>
              <w:t>临界</w:t>
            </w:r>
            <w:r>
              <w:rPr>
                <w:rFonts w:hint="default" w:ascii="Times New Roman" w:hAnsi="Times New Roman" w:eastAsia="宋体" w:cs="Times New Roman"/>
                <w:color w:val="auto"/>
                <w:spacing w:val="7"/>
                <w:kern w:val="2"/>
                <w:sz w:val="21"/>
                <w:szCs w:val="21"/>
                <w:highlight w:val="none"/>
                <w:lang w:val="en-US" w:eastAsia="zh-CN" w:bidi="ar"/>
              </w:rPr>
              <w:t>量</w:t>
            </w:r>
            <w:r>
              <w:rPr>
                <w:rFonts w:hint="default" w:ascii="Times New Roman" w:hAnsi="Times New Roman" w:eastAsia="宋体" w:cs="Times New Roman"/>
                <w:color w:val="auto"/>
                <w:kern w:val="2"/>
                <w:sz w:val="21"/>
                <w:szCs w:val="21"/>
                <w:highlight w:val="none"/>
                <w:lang w:val="en-US" w:eastAsia="zh-CN" w:bidi="ar"/>
              </w:rPr>
              <w:t>比值</w:t>
            </w:r>
            <w:r>
              <w:rPr>
                <w:rFonts w:hint="default" w:ascii="Times New Roman" w:hAnsi="Times New Roman" w:eastAsia="宋体" w:cs="Times New Roman"/>
                <w:color w:val="auto"/>
                <w:spacing w:val="7"/>
                <w:kern w:val="2"/>
                <w:sz w:val="21"/>
                <w:szCs w:val="21"/>
                <w:highlight w:val="none"/>
                <w:lang w:val="en-US" w:eastAsia="zh-CN" w:bidi="ar"/>
              </w:rPr>
              <w:t>（</w:t>
            </w:r>
            <w:r>
              <w:rPr>
                <w:rFonts w:hint="default" w:ascii="Times New Roman" w:hAnsi="Times New Roman" w:eastAsia="宋体" w:cs="Times New Roman"/>
                <w:i/>
                <w:iCs/>
                <w:color w:val="auto"/>
                <w:spacing w:val="4"/>
                <w:kern w:val="2"/>
                <w:sz w:val="21"/>
                <w:szCs w:val="21"/>
                <w:highlight w:val="none"/>
                <w:lang w:val="en-US" w:eastAsia="zh-CN" w:bidi="ar"/>
              </w:rPr>
              <w:t>Q</w:t>
            </w:r>
            <w:r>
              <w:rPr>
                <w:rFonts w:hint="default" w:ascii="Times New Roman" w:hAnsi="Times New Roman" w:eastAsia="宋体" w:cs="Times New Roman"/>
                <w:color w:val="auto"/>
                <w:kern w:val="2"/>
                <w:sz w:val="21"/>
                <w:szCs w:val="21"/>
                <w:highlight w:val="none"/>
                <w:lang w:val="en-US" w:eastAsia="zh-CN" w:bidi="ar"/>
              </w:rPr>
              <w:t>）</w:t>
            </w:r>
          </w:p>
        </w:tc>
        <w:tc>
          <w:tcPr>
            <w:tcW w:w="6855" w:type="dxa"/>
            <w:gridSpan w:val="4"/>
            <w:tcBorders>
              <w:top w:val="single" w:color="auto" w:sz="12"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spacing w:val="7"/>
                <w:kern w:val="2"/>
                <w:sz w:val="21"/>
                <w:szCs w:val="21"/>
                <w:highlight w:val="none"/>
                <w:lang w:val="en-US" w:eastAsia="zh-CN" w:bidi="ar"/>
              </w:rPr>
              <w:t>行</w:t>
            </w:r>
            <w:r>
              <w:rPr>
                <w:rFonts w:hint="default" w:ascii="Times New Roman" w:hAnsi="Times New Roman" w:eastAsia="宋体" w:cs="Times New Roman"/>
                <w:color w:val="auto"/>
                <w:kern w:val="2"/>
                <w:sz w:val="21"/>
                <w:szCs w:val="21"/>
                <w:highlight w:val="none"/>
                <w:lang w:val="en-US" w:eastAsia="zh-CN" w:bidi="ar"/>
              </w:rPr>
              <w:t>业及</w:t>
            </w:r>
            <w:r>
              <w:rPr>
                <w:rFonts w:hint="default" w:ascii="Times New Roman" w:hAnsi="Times New Roman" w:eastAsia="宋体" w:cs="Times New Roman"/>
                <w:color w:val="auto"/>
                <w:spacing w:val="7"/>
                <w:kern w:val="2"/>
                <w:sz w:val="21"/>
                <w:szCs w:val="21"/>
                <w:highlight w:val="none"/>
                <w:lang w:val="en-US" w:eastAsia="zh-CN" w:bidi="ar"/>
              </w:rPr>
              <w:t>生</w:t>
            </w:r>
            <w:r>
              <w:rPr>
                <w:rFonts w:hint="default" w:ascii="Times New Roman" w:hAnsi="Times New Roman" w:eastAsia="宋体" w:cs="Times New Roman"/>
                <w:color w:val="auto"/>
                <w:kern w:val="2"/>
                <w:sz w:val="21"/>
                <w:szCs w:val="21"/>
                <w:highlight w:val="none"/>
                <w:lang w:val="en-US" w:eastAsia="zh-CN" w:bidi="ar"/>
              </w:rPr>
              <w:t>产工</w:t>
            </w:r>
            <w:r>
              <w:rPr>
                <w:rFonts w:hint="default" w:ascii="Times New Roman" w:hAnsi="Times New Roman" w:eastAsia="宋体" w:cs="Times New Roman"/>
                <w:color w:val="auto"/>
                <w:spacing w:val="7"/>
                <w:kern w:val="2"/>
                <w:sz w:val="21"/>
                <w:szCs w:val="21"/>
                <w:highlight w:val="none"/>
                <w:lang w:val="en-US" w:eastAsia="zh-CN" w:bidi="ar"/>
              </w:rPr>
              <w:t>艺</w:t>
            </w:r>
            <w:r>
              <w:rPr>
                <w:rFonts w:hint="default" w:ascii="Times New Roman" w:hAnsi="Times New Roman" w:eastAsia="宋体" w:cs="Times New Roman"/>
                <w:color w:val="auto"/>
                <w:kern w:val="2"/>
                <w:sz w:val="21"/>
                <w:szCs w:val="21"/>
                <w:highlight w:val="none"/>
                <w:lang w:val="en-US" w:eastAsia="zh-CN" w:bidi="ar"/>
              </w:rPr>
              <w:t>（</w:t>
            </w:r>
            <w:r>
              <w:rPr>
                <w:rFonts w:hint="default" w:ascii="Times New Roman" w:hAnsi="Times New Roman" w:eastAsia="宋体" w:cs="Times New Roman"/>
                <w:color w:val="auto"/>
                <w:spacing w:val="-1"/>
                <w:kern w:val="2"/>
                <w:sz w:val="21"/>
                <w:szCs w:val="21"/>
                <w:highlight w:val="none"/>
                <w:lang w:val="en-US" w:eastAsia="zh-CN" w:bidi="ar"/>
              </w:rPr>
              <w:t>M</w:t>
            </w:r>
            <w:r>
              <w:rPr>
                <w:rFonts w:hint="default" w:ascii="Times New Roman" w:hAnsi="Times New Roman" w:eastAsia="宋体" w:cs="Times New Roman"/>
                <w:color w:val="auto"/>
                <w:kern w:val="2"/>
                <w:sz w:val="21"/>
                <w:szCs w:val="21"/>
                <w:highlight w:val="none"/>
                <w:lang w:val="en-US" w:eastAsia="zh-CN" w:bidi="ar"/>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5" w:type="dxa"/>
            <w:vMerge w:val="continue"/>
            <w:tcBorders>
              <w:top w:val="single" w:color="auto" w:sz="12"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auto"/>
              <w:ind w:left="0" w:right="0" w:firstLine="400" w:firstLineChars="200"/>
              <w:rPr>
                <w:rFonts w:hint="default" w:ascii="Times New Roman" w:hAnsi="Times New Roman" w:eastAsia="宋体" w:cs="Times New Roman"/>
                <w:color w:val="auto"/>
                <w:sz w:val="20"/>
                <w:szCs w:val="20"/>
                <w:highlight w:val="none"/>
              </w:rPr>
            </w:pPr>
          </w:p>
        </w:tc>
        <w:tc>
          <w:tcPr>
            <w:tcW w:w="17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spacing w:val="3"/>
                <w:kern w:val="2"/>
                <w:sz w:val="21"/>
                <w:szCs w:val="21"/>
                <w:highlight w:val="none"/>
                <w:lang w:val="en-US" w:eastAsia="zh-CN" w:bidi="ar"/>
              </w:rPr>
              <w:t>M1</w:t>
            </w:r>
          </w:p>
        </w:tc>
        <w:tc>
          <w:tcPr>
            <w:tcW w:w="17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spacing w:val="3"/>
                <w:kern w:val="2"/>
                <w:sz w:val="21"/>
                <w:szCs w:val="21"/>
                <w:highlight w:val="none"/>
                <w:lang w:val="en-US" w:eastAsia="zh-CN" w:bidi="ar"/>
              </w:rPr>
              <w:t>M2</w:t>
            </w:r>
          </w:p>
        </w:tc>
        <w:tc>
          <w:tcPr>
            <w:tcW w:w="17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spacing w:val="3"/>
                <w:kern w:val="2"/>
                <w:sz w:val="21"/>
                <w:szCs w:val="21"/>
                <w:highlight w:val="none"/>
                <w:lang w:val="en-US" w:eastAsia="zh-CN" w:bidi="ar"/>
              </w:rPr>
              <w:t>M3</w:t>
            </w:r>
          </w:p>
        </w:tc>
        <w:tc>
          <w:tcPr>
            <w:tcW w:w="1708"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spacing w:val="3"/>
                <w:kern w:val="2"/>
                <w:sz w:val="21"/>
                <w:szCs w:val="21"/>
                <w:highlight w:val="none"/>
                <w:lang w:val="en-US" w:eastAsia="zh-CN" w:bidi="ar"/>
              </w:rPr>
              <w:t>M4</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5"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i/>
                <w:iCs/>
                <w:color w:val="auto"/>
                <w:spacing w:val="-1"/>
                <w:kern w:val="2"/>
                <w:sz w:val="21"/>
                <w:szCs w:val="21"/>
                <w:highlight w:val="none"/>
                <w:lang w:val="en-US" w:eastAsia="zh-CN" w:bidi="ar"/>
              </w:rPr>
              <w:t>Q</w:t>
            </w:r>
            <w:r>
              <w:rPr>
                <w:rFonts w:hint="default" w:ascii="Times New Roman" w:hAnsi="Times New Roman" w:eastAsia="宋体" w:cs="Times New Roman"/>
                <w:color w:val="auto"/>
                <w:kern w:val="2"/>
                <w:sz w:val="21"/>
                <w:szCs w:val="21"/>
                <w:highlight w:val="none"/>
                <w:lang w:val="en-US" w:eastAsia="zh-CN" w:bidi="ar"/>
              </w:rPr>
              <w:t>≥100</w:t>
            </w:r>
          </w:p>
        </w:tc>
        <w:tc>
          <w:tcPr>
            <w:tcW w:w="17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spacing w:val="3"/>
                <w:kern w:val="2"/>
                <w:sz w:val="21"/>
                <w:szCs w:val="21"/>
                <w:highlight w:val="none"/>
                <w:lang w:val="en-US" w:eastAsia="zh-CN" w:bidi="ar"/>
              </w:rPr>
              <w:t>P1</w:t>
            </w:r>
          </w:p>
        </w:tc>
        <w:tc>
          <w:tcPr>
            <w:tcW w:w="17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spacing w:val="3"/>
                <w:kern w:val="2"/>
                <w:sz w:val="21"/>
                <w:szCs w:val="21"/>
                <w:highlight w:val="none"/>
                <w:lang w:val="en-US" w:eastAsia="zh-CN" w:bidi="ar"/>
              </w:rPr>
              <w:t>P1</w:t>
            </w:r>
          </w:p>
        </w:tc>
        <w:tc>
          <w:tcPr>
            <w:tcW w:w="171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spacing w:val="3"/>
                <w:kern w:val="2"/>
                <w:sz w:val="21"/>
                <w:szCs w:val="21"/>
                <w:highlight w:val="none"/>
                <w:lang w:val="en-US" w:eastAsia="zh-CN" w:bidi="ar"/>
              </w:rPr>
              <w:t>P2</w:t>
            </w:r>
          </w:p>
        </w:tc>
        <w:tc>
          <w:tcPr>
            <w:tcW w:w="1708" w:type="dxa"/>
            <w:tcBorders>
              <w:top w:val="single" w:color="auto" w:sz="4" w:space="0"/>
              <w:left w:val="single" w:color="auto" w:sz="4" w:space="0"/>
              <w:bottom w:val="single" w:color="auto" w:sz="4" w:space="0"/>
              <w:right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spacing w:val="3"/>
                <w:kern w:val="2"/>
                <w:sz w:val="21"/>
                <w:szCs w:val="21"/>
                <w:highlight w:val="none"/>
                <w:lang w:val="en-US" w:eastAsia="zh-CN" w:bidi="ar"/>
              </w:rPr>
              <w:t>P3</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5" w:type="dxa"/>
            <w:tcBorders>
              <w:top w:val="single" w:color="auto" w:sz="4" w:space="0"/>
              <w:left w:val="nil"/>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10</w:t>
            </w:r>
            <w:r>
              <w:rPr>
                <w:rFonts w:hint="default" w:ascii="Times New Roman" w:hAnsi="Times New Roman" w:eastAsia="宋体" w:cs="Times New Roman"/>
                <w:color w:val="auto"/>
                <w:spacing w:val="7"/>
                <w:kern w:val="2"/>
                <w:sz w:val="21"/>
                <w:szCs w:val="21"/>
                <w:highlight w:val="none"/>
                <w:lang w:val="en-US" w:eastAsia="zh-CN" w:bidi="ar"/>
              </w:rPr>
              <w:t>≤</w:t>
            </w:r>
            <w:r>
              <w:rPr>
                <w:rFonts w:hint="default" w:ascii="Times New Roman" w:hAnsi="Times New Roman" w:eastAsia="宋体" w:cs="Times New Roman"/>
                <w:i/>
                <w:iCs/>
                <w:color w:val="auto"/>
                <w:spacing w:val="-1"/>
                <w:kern w:val="2"/>
                <w:sz w:val="21"/>
                <w:szCs w:val="21"/>
                <w:highlight w:val="none"/>
                <w:lang w:val="en-US" w:eastAsia="zh-CN" w:bidi="ar"/>
              </w:rPr>
              <w:t>Q</w:t>
            </w:r>
            <w:r>
              <w:rPr>
                <w:rFonts w:hint="default" w:ascii="Times New Roman" w:hAnsi="Times New Roman" w:eastAsia="宋体" w:cs="Times New Roman"/>
                <w:color w:val="auto"/>
                <w:kern w:val="2"/>
                <w:sz w:val="21"/>
                <w:szCs w:val="21"/>
                <w:highlight w:val="none"/>
                <w:lang w:val="en-US" w:eastAsia="zh-CN" w:bidi="ar"/>
              </w:rPr>
              <w:t>＜100</w:t>
            </w:r>
          </w:p>
        </w:tc>
        <w:tc>
          <w:tcPr>
            <w:tcW w:w="17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spacing w:val="3"/>
                <w:kern w:val="2"/>
                <w:sz w:val="21"/>
                <w:szCs w:val="21"/>
                <w:highlight w:val="none"/>
                <w:lang w:val="en-US" w:eastAsia="zh-CN" w:bidi="ar"/>
              </w:rPr>
              <w:t>P1</w:t>
            </w:r>
          </w:p>
        </w:tc>
        <w:tc>
          <w:tcPr>
            <w:tcW w:w="17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spacing w:val="3"/>
                <w:kern w:val="2"/>
                <w:sz w:val="21"/>
                <w:szCs w:val="21"/>
                <w:highlight w:val="none"/>
                <w:lang w:val="en-US" w:eastAsia="zh-CN" w:bidi="ar"/>
              </w:rPr>
              <w:t>P2</w:t>
            </w:r>
          </w:p>
        </w:tc>
        <w:tc>
          <w:tcPr>
            <w:tcW w:w="17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spacing w:val="3"/>
                <w:kern w:val="2"/>
                <w:sz w:val="21"/>
                <w:szCs w:val="21"/>
                <w:highlight w:val="none"/>
                <w:lang w:val="en-US" w:eastAsia="zh-CN" w:bidi="ar"/>
              </w:rPr>
              <w:t>P3</w:t>
            </w:r>
          </w:p>
        </w:tc>
        <w:tc>
          <w:tcPr>
            <w:tcW w:w="1708" w:type="dxa"/>
            <w:tcBorders>
              <w:top w:val="single" w:color="auto" w:sz="4" w:space="0"/>
              <w:left w:val="single" w:color="auto" w:sz="4" w:space="0"/>
              <w:bottom w:val="single" w:color="auto" w:sz="4" w:space="0"/>
              <w:right w:val="nil"/>
            </w:tcBorders>
            <w:shd w:val="clear" w:color="auto" w:fill="D7D7D7" w:themeFill="background1" w:themeFillShade="D8"/>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spacing w:val="3"/>
                <w:kern w:val="2"/>
                <w:sz w:val="21"/>
                <w:szCs w:val="21"/>
                <w:highlight w:val="none"/>
                <w:lang w:val="en-US" w:eastAsia="zh-CN" w:bidi="ar"/>
              </w:rPr>
              <w:t>P4</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5" w:type="dxa"/>
            <w:tcBorders>
              <w:top w:val="single" w:color="auto" w:sz="4" w:space="0"/>
              <w:left w:val="nil"/>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cs="Times New Roman"/>
                <w:color w:val="auto"/>
                <w:kern w:val="2"/>
                <w:sz w:val="21"/>
                <w:szCs w:val="21"/>
                <w:highlight w:val="none"/>
                <w:lang w:val="en-US" w:eastAsia="zh-CN" w:bidi="ar"/>
              </w:rPr>
              <w:t>10≤Q＜100</w:t>
            </w:r>
          </w:p>
        </w:tc>
        <w:tc>
          <w:tcPr>
            <w:tcW w:w="1715"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spacing w:val="3"/>
                <w:kern w:val="2"/>
                <w:sz w:val="21"/>
                <w:szCs w:val="21"/>
                <w:highlight w:val="none"/>
                <w:lang w:val="en-US" w:eastAsia="zh-CN" w:bidi="ar"/>
              </w:rPr>
              <w:t>P2</w:t>
            </w:r>
          </w:p>
        </w:tc>
        <w:tc>
          <w:tcPr>
            <w:tcW w:w="1715"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spacing w:val="3"/>
                <w:kern w:val="2"/>
                <w:sz w:val="21"/>
                <w:szCs w:val="21"/>
                <w:highlight w:val="none"/>
                <w:lang w:val="en-US" w:eastAsia="zh-CN" w:bidi="ar"/>
              </w:rPr>
              <w:t>P3</w:t>
            </w:r>
          </w:p>
        </w:tc>
        <w:tc>
          <w:tcPr>
            <w:tcW w:w="1717"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spacing w:val="3"/>
                <w:kern w:val="2"/>
                <w:sz w:val="21"/>
                <w:szCs w:val="21"/>
                <w:highlight w:val="none"/>
                <w:lang w:val="en-US" w:eastAsia="zh-CN" w:bidi="ar"/>
              </w:rPr>
              <w:t>P4</w:t>
            </w:r>
          </w:p>
        </w:tc>
        <w:tc>
          <w:tcPr>
            <w:tcW w:w="1708" w:type="dxa"/>
            <w:tcBorders>
              <w:top w:val="single" w:color="auto" w:sz="4" w:space="0"/>
              <w:left w:val="single" w:color="auto" w:sz="4" w:space="0"/>
              <w:bottom w:val="single" w:color="auto" w:sz="12" w:space="0"/>
              <w:right w:val="nil"/>
            </w:tcBorders>
            <w:shd w:val="clear" w:color="auto" w:fill="auto"/>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spacing w:val="3"/>
                <w:kern w:val="2"/>
                <w:sz w:val="21"/>
                <w:szCs w:val="21"/>
                <w:highlight w:val="none"/>
                <w:lang w:val="en-US" w:eastAsia="zh-CN" w:bidi="ar"/>
              </w:rPr>
              <w:t>P4</w:t>
            </w:r>
          </w:p>
        </w:tc>
      </w:tr>
    </w:tbl>
    <w:p>
      <w:pPr>
        <w:bidi w:val="0"/>
        <w:rPr>
          <w:rFonts w:hint="default" w:ascii="Times New Roman" w:hAnsi="Times New Roman" w:cs="Times New Roman"/>
          <w:color w:val="auto"/>
          <w:highlight w:val="none"/>
          <w:lang w:val="en-US" w:eastAsia="zh-CN"/>
        </w:rPr>
      </w:pPr>
    </w:p>
    <w:p>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本项目环境风险物质总量与临界量比值Q值划分为</w:t>
      </w:r>
      <w:r>
        <w:rPr>
          <w:rFonts w:hint="default" w:ascii="Times New Roman" w:hAnsi="Times New Roman" w:cs="Times New Roman"/>
          <w:color w:val="auto"/>
          <w:sz w:val="24"/>
          <w:highlight w:val="none"/>
          <w:lang w:val="en-US" w:eastAsia="zh-CN"/>
        </w:rPr>
        <w:t>10≤Q＜100</w:t>
      </w:r>
      <w:r>
        <w:rPr>
          <w:rFonts w:hint="default" w:ascii="Times New Roman" w:hAnsi="Times New Roman" w:eastAsia="宋体" w:cs="Times New Roman"/>
          <w:color w:val="auto"/>
          <w:sz w:val="24"/>
          <w:highlight w:val="none"/>
          <w:lang w:val="en-US" w:eastAsia="zh-CN"/>
        </w:rPr>
        <w:t>，行业及生产工艺为M</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，则危险物质及工艺系统危险性等级为P</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w:t>
      </w:r>
    </w:p>
    <w:p>
      <w:pPr>
        <w:pStyle w:val="4"/>
        <w:numPr>
          <w:ilvl w:val="2"/>
          <w:numId w:val="10"/>
        </w:numPr>
        <w:rPr>
          <w:rFonts w:hint="default" w:ascii="Times New Roman" w:hAnsi="Times New Roman" w:eastAsia="宋体" w:cs="Times New Roman"/>
          <w:b/>
          <w:bCs/>
          <w:color w:val="auto"/>
          <w:kern w:val="0"/>
          <w:sz w:val="24"/>
          <w:szCs w:val="28"/>
          <w:highlight w:val="none"/>
          <w:lang w:val="en-US" w:eastAsia="zh-CN" w:bidi="ar-SA"/>
        </w:rPr>
      </w:pPr>
      <w:r>
        <w:rPr>
          <w:rFonts w:hint="default" w:ascii="Times New Roman" w:hAnsi="Times New Roman" w:eastAsia="宋体" w:cs="Times New Roman"/>
          <w:b/>
          <w:bCs/>
          <w:color w:val="auto"/>
          <w:kern w:val="0"/>
          <w:sz w:val="24"/>
          <w:szCs w:val="28"/>
          <w:highlight w:val="none"/>
          <w:lang w:val="en-US" w:eastAsia="zh-CN" w:bidi="ar-SA"/>
        </w:rPr>
        <w:t>环境敏感程度（E）分级</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本项目周边环境敏感特征见表3.4-1。</w:t>
      </w:r>
    </w:p>
    <w:p>
      <w:pPr>
        <w:rPr>
          <w:rFonts w:hint="default" w:ascii="Times New Roman" w:hAnsi="Times New Roman" w:cs="Times New Roman"/>
          <w:color w:val="auto"/>
          <w:highlight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720" w:num="1"/>
          <w:docGrid w:type="lines" w:linePitch="312" w:charSpace="0"/>
        </w:sectPr>
      </w:pPr>
    </w:p>
    <w:p>
      <w:pPr>
        <w:keepNext/>
        <w:keepLines/>
        <w:widowControl w:val="0"/>
        <w:numPr>
          <w:ilvl w:val="4"/>
          <w:numId w:val="12"/>
        </w:numPr>
        <w:bidi w:val="0"/>
        <w:spacing w:beforeAutospacing="0" w:afterLines="0" w:afterAutospacing="0" w:line="360" w:lineRule="auto"/>
        <w:ind w:left="0" w:leftChars="0" w:firstLine="0" w:firstLineChars="0"/>
        <w:jc w:val="center"/>
        <w:outlineLvl w:val="4"/>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表3.4-1 建设项目周边敏感特征表</w:t>
      </w:r>
    </w:p>
    <w:tbl>
      <w:tblPr>
        <w:tblStyle w:val="11"/>
        <w:tblW w:w="928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094"/>
        <w:gridCol w:w="1245"/>
        <w:gridCol w:w="613"/>
        <w:gridCol w:w="542"/>
        <w:gridCol w:w="690"/>
        <w:gridCol w:w="1005"/>
        <w:gridCol w:w="864"/>
        <w:gridCol w:w="1266"/>
        <w:gridCol w:w="14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环境要素</w:t>
            </w:r>
          </w:p>
        </w:tc>
        <w:tc>
          <w:tcPr>
            <w:tcW w:w="109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保护目标名称</w:t>
            </w:r>
          </w:p>
        </w:tc>
        <w:tc>
          <w:tcPr>
            <w:tcW w:w="2400"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坐标</w:t>
            </w:r>
          </w:p>
        </w:tc>
        <w:tc>
          <w:tcPr>
            <w:tcW w:w="1695"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与厂界相对位置</w:t>
            </w:r>
          </w:p>
        </w:tc>
        <w:tc>
          <w:tcPr>
            <w:tcW w:w="86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属性</w:t>
            </w:r>
          </w:p>
        </w:tc>
        <w:tc>
          <w:tcPr>
            <w:tcW w:w="1266"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人口数</w:t>
            </w:r>
          </w:p>
        </w:tc>
        <w:tc>
          <w:tcPr>
            <w:tcW w:w="1412"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环境功能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09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E</w:t>
            </w:r>
            <w:r>
              <w:rPr>
                <w:rFonts w:hint="default" w:ascii="Times New Roman" w:hAnsi="Times New Roman"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经度</w:t>
            </w:r>
            <w:r>
              <w:rPr>
                <w:rFonts w:hint="default" w:ascii="Times New Roman" w:hAnsi="Times New Roman" w:cs="Times New Roman"/>
                <w:color w:val="auto"/>
                <w:kern w:val="2"/>
                <w:sz w:val="21"/>
                <w:szCs w:val="21"/>
                <w:highlight w:val="none"/>
                <w:lang w:val="en-US" w:eastAsia="zh-CN" w:bidi="ar-SA"/>
              </w:rPr>
              <w:t>）</w:t>
            </w:r>
          </w:p>
        </w:tc>
        <w:tc>
          <w:tcPr>
            <w:tcW w:w="1155"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w:t>
            </w:r>
            <w:r>
              <w:rPr>
                <w:rFonts w:hint="default" w:ascii="Times New Roman" w:hAnsi="Times New Roman"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纬度</w:t>
            </w:r>
            <w:r>
              <w:rPr>
                <w:rFonts w:hint="default" w:ascii="Times New Roman" w:hAnsi="Times New Roman" w:cs="Times New Roman"/>
                <w:color w:val="auto"/>
                <w:kern w:val="2"/>
                <w:sz w:val="21"/>
                <w:szCs w:val="21"/>
                <w:highlight w:val="none"/>
                <w:lang w:val="en-US" w:eastAsia="zh-CN" w:bidi="ar-SA"/>
              </w:rPr>
              <w:t>）</w:t>
            </w:r>
          </w:p>
        </w:tc>
        <w:tc>
          <w:tcPr>
            <w:tcW w:w="6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方位</w:t>
            </w:r>
          </w:p>
        </w:tc>
        <w:tc>
          <w:tcPr>
            <w:tcW w:w="100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最近距离/m</w:t>
            </w:r>
          </w:p>
        </w:tc>
        <w:tc>
          <w:tcPr>
            <w:tcW w:w="86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266"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41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环境空气</w:t>
            </w:r>
          </w:p>
        </w:tc>
        <w:tc>
          <w:tcPr>
            <w:tcW w:w="10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沙淀村</w:t>
            </w:r>
          </w:p>
        </w:tc>
        <w:tc>
          <w:tcPr>
            <w:tcW w:w="12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120.243731</w:t>
            </w:r>
          </w:p>
        </w:tc>
        <w:tc>
          <w:tcPr>
            <w:tcW w:w="1155"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27.059852</w:t>
            </w:r>
          </w:p>
        </w:tc>
        <w:tc>
          <w:tcPr>
            <w:tcW w:w="6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w:t>
            </w:r>
          </w:p>
        </w:tc>
        <w:tc>
          <w:tcPr>
            <w:tcW w:w="100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1069</w:t>
            </w:r>
          </w:p>
        </w:tc>
        <w:tc>
          <w:tcPr>
            <w:tcW w:w="8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居民区</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约308人</w:t>
            </w:r>
          </w:p>
        </w:tc>
        <w:tc>
          <w:tcPr>
            <w:tcW w:w="1412"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二类区，符合《环境空气质量标准》(GB3095-2012</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0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文渡村</w:t>
            </w:r>
          </w:p>
        </w:tc>
        <w:tc>
          <w:tcPr>
            <w:tcW w:w="12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120.235384</w:t>
            </w:r>
          </w:p>
        </w:tc>
        <w:tc>
          <w:tcPr>
            <w:tcW w:w="1155"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27.066903</w:t>
            </w:r>
          </w:p>
        </w:tc>
        <w:tc>
          <w:tcPr>
            <w:tcW w:w="6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w:t>
            </w:r>
          </w:p>
        </w:tc>
        <w:tc>
          <w:tcPr>
            <w:tcW w:w="100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1450</w:t>
            </w:r>
          </w:p>
        </w:tc>
        <w:tc>
          <w:tcPr>
            <w:tcW w:w="8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居民区</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约217人</w:t>
            </w:r>
          </w:p>
        </w:tc>
        <w:tc>
          <w:tcPr>
            <w:tcW w:w="141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0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柏洋村</w:t>
            </w:r>
          </w:p>
        </w:tc>
        <w:tc>
          <w:tcPr>
            <w:tcW w:w="12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120.234783</w:t>
            </w:r>
          </w:p>
        </w:tc>
        <w:tc>
          <w:tcPr>
            <w:tcW w:w="1155"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27.054777</w:t>
            </w:r>
          </w:p>
        </w:tc>
        <w:tc>
          <w:tcPr>
            <w:tcW w:w="6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WS</w:t>
            </w:r>
          </w:p>
        </w:tc>
        <w:tc>
          <w:tcPr>
            <w:tcW w:w="100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1635</w:t>
            </w:r>
          </w:p>
        </w:tc>
        <w:tc>
          <w:tcPr>
            <w:tcW w:w="8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居民区</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约2317人</w:t>
            </w:r>
          </w:p>
        </w:tc>
        <w:tc>
          <w:tcPr>
            <w:tcW w:w="141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0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斗门头村</w:t>
            </w:r>
          </w:p>
        </w:tc>
        <w:tc>
          <w:tcPr>
            <w:tcW w:w="12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120.235404</w:t>
            </w:r>
          </w:p>
        </w:tc>
        <w:tc>
          <w:tcPr>
            <w:tcW w:w="1155"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27.050486</w:t>
            </w:r>
          </w:p>
        </w:tc>
        <w:tc>
          <w:tcPr>
            <w:tcW w:w="6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WS</w:t>
            </w:r>
          </w:p>
        </w:tc>
        <w:tc>
          <w:tcPr>
            <w:tcW w:w="100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2015</w:t>
            </w:r>
          </w:p>
        </w:tc>
        <w:tc>
          <w:tcPr>
            <w:tcW w:w="8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居民区</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约1159人</w:t>
            </w:r>
          </w:p>
        </w:tc>
        <w:tc>
          <w:tcPr>
            <w:tcW w:w="141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溪头里村</w:t>
            </w:r>
          </w:p>
        </w:tc>
        <w:tc>
          <w:tcPr>
            <w:tcW w:w="12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120.658371</w:t>
            </w:r>
          </w:p>
        </w:tc>
        <w:tc>
          <w:tcPr>
            <w:tcW w:w="1155"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27.048415</w:t>
            </w:r>
          </w:p>
        </w:tc>
        <w:tc>
          <w:tcPr>
            <w:tcW w:w="6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WS</w:t>
            </w:r>
          </w:p>
        </w:tc>
        <w:tc>
          <w:tcPr>
            <w:tcW w:w="100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2889</w:t>
            </w:r>
          </w:p>
        </w:tc>
        <w:tc>
          <w:tcPr>
            <w:tcW w:w="8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居民区</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约368人</w:t>
            </w:r>
          </w:p>
        </w:tc>
        <w:tc>
          <w:tcPr>
            <w:tcW w:w="141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南埕村</w:t>
            </w:r>
          </w:p>
        </w:tc>
        <w:tc>
          <w:tcPr>
            <w:tcW w:w="12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120.232626</w:t>
            </w:r>
          </w:p>
        </w:tc>
        <w:tc>
          <w:tcPr>
            <w:tcW w:w="1155"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27.045540</w:t>
            </w:r>
          </w:p>
        </w:tc>
        <w:tc>
          <w:tcPr>
            <w:tcW w:w="6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WS</w:t>
            </w:r>
          </w:p>
        </w:tc>
        <w:tc>
          <w:tcPr>
            <w:tcW w:w="100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710</w:t>
            </w:r>
          </w:p>
        </w:tc>
        <w:tc>
          <w:tcPr>
            <w:tcW w:w="8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居民区</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约196人</w:t>
            </w:r>
          </w:p>
        </w:tc>
        <w:tc>
          <w:tcPr>
            <w:tcW w:w="141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青湾村</w:t>
            </w:r>
          </w:p>
        </w:tc>
        <w:tc>
          <w:tcPr>
            <w:tcW w:w="12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120.251327</w:t>
            </w:r>
          </w:p>
        </w:tc>
        <w:tc>
          <w:tcPr>
            <w:tcW w:w="1155"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27.045829</w:t>
            </w:r>
          </w:p>
        </w:tc>
        <w:tc>
          <w:tcPr>
            <w:tcW w:w="6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t>
            </w:r>
          </w:p>
        </w:tc>
        <w:tc>
          <w:tcPr>
            <w:tcW w:w="100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1940</w:t>
            </w:r>
          </w:p>
        </w:tc>
        <w:tc>
          <w:tcPr>
            <w:tcW w:w="8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居民区</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约725人</w:t>
            </w:r>
          </w:p>
        </w:tc>
        <w:tc>
          <w:tcPr>
            <w:tcW w:w="141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18"/>
                <w:sz w:val="21"/>
                <w:szCs w:val="21"/>
                <w:highlight w:val="none"/>
              </w:rPr>
              <w:t>东埕村</w:t>
            </w:r>
          </w:p>
        </w:tc>
        <w:tc>
          <w:tcPr>
            <w:tcW w:w="12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120.255171</w:t>
            </w:r>
          </w:p>
        </w:tc>
        <w:tc>
          <w:tcPr>
            <w:tcW w:w="1155"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27.072004</w:t>
            </w:r>
          </w:p>
        </w:tc>
        <w:tc>
          <w:tcPr>
            <w:tcW w:w="6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EN</w:t>
            </w:r>
          </w:p>
        </w:tc>
        <w:tc>
          <w:tcPr>
            <w:tcW w:w="100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595</w:t>
            </w:r>
          </w:p>
        </w:tc>
        <w:tc>
          <w:tcPr>
            <w:tcW w:w="8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居民区</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约2860人</w:t>
            </w:r>
          </w:p>
        </w:tc>
        <w:tc>
          <w:tcPr>
            <w:tcW w:w="141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巨口村</w:t>
            </w:r>
          </w:p>
        </w:tc>
        <w:tc>
          <w:tcPr>
            <w:tcW w:w="12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120.230264</w:t>
            </w:r>
          </w:p>
        </w:tc>
        <w:tc>
          <w:tcPr>
            <w:tcW w:w="1155"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27.036578</w:t>
            </w:r>
          </w:p>
        </w:tc>
        <w:tc>
          <w:tcPr>
            <w:tcW w:w="6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WN</w:t>
            </w:r>
          </w:p>
        </w:tc>
        <w:tc>
          <w:tcPr>
            <w:tcW w:w="100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1880</w:t>
            </w:r>
          </w:p>
        </w:tc>
        <w:tc>
          <w:tcPr>
            <w:tcW w:w="8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居民区</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约1615人</w:t>
            </w:r>
          </w:p>
        </w:tc>
        <w:tc>
          <w:tcPr>
            <w:tcW w:w="141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硖门村</w:t>
            </w:r>
          </w:p>
        </w:tc>
        <w:tc>
          <w:tcPr>
            <w:tcW w:w="12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120.225127</w:t>
            </w:r>
          </w:p>
        </w:tc>
        <w:tc>
          <w:tcPr>
            <w:tcW w:w="1155"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27.034628</w:t>
            </w:r>
          </w:p>
        </w:tc>
        <w:tc>
          <w:tcPr>
            <w:tcW w:w="6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WS</w:t>
            </w:r>
          </w:p>
        </w:tc>
        <w:tc>
          <w:tcPr>
            <w:tcW w:w="100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3673</w:t>
            </w:r>
          </w:p>
        </w:tc>
        <w:tc>
          <w:tcPr>
            <w:tcW w:w="8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居民区</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约3300人</w:t>
            </w:r>
          </w:p>
        </w:tc>
        <w:tc>
          <w:tcPr>
            <w:tcW w:w="141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海天广场</w:t>
            </w:r>
          </w:p>
        </w:tc>
        <w:tc>
          <w:tcPr>
            <w:tcW w:w="12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120.253412</w:t>
            </w:r>
          </w:p>
        </w:tc>
        <w:tc>
          <w:tcPr>
            <w:tcW w:w="1155"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27.065021</w:t>
            </w:r>
          </w:p>
        </w:tc>
        <w:tc>
          <w:tcPr>
            <w:tcW w:w="6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EN</w:t>
            </w:r>
          </w:p>
        </w:tc>
        <w:tc>
          <w:tcPr>
            <w:tcW w:w="100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44</w:t>
            </w:r>
          </w:p>
        </w:tc>
        <w:tc>
          <w:tcPr>
            <w:tcW w:w="8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居民区</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约800人</w:t>
            </w:r>
          </w:p>
        </w:tc>
        <w:tc>
          <w:tcPr>
            <w:tcW w:w="141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牛郎冈村</w:t>
            </w:r>
          </w:p>
        </w:tc>
        <w:tc>
          <w:tcPr>
            <w:tcW w:w="12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120.275402</w:t>
            </w:r>
          </w:p>
        </w:tc>
        <w:tc>
          <w:tcPr>
            <w:tcW w:w="1155"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27.061901</w:t>
            </w:r>
          </w:p>
        </w:tc>
        <w:tc>
          <w:tcPr>
            <w:tcW w:w="6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E</w:t>
            </w:r>
            <w:r>
              <w:rPr>
                <w:rFonts w:hint="default" w:ascii="Times New Roman" w:hAnsi="Times New Roman" w:cs="Times New Roman"/>
                <w:color w:val="auto"/>
                <w:kern w:val="2"/>
                <w:sz w:val="21"/>
                <w:szCs w:val="21"/>
                <w:highlight w:val="none"/>
                <w:lang w:val="en-US" w:eastAsia="zh-CN" w:bidi="ar-SA"/>
              </w:rPr>
              <w:t>S</w:t>
            </w:r>
          </w:p>
        </w:tc>
        <w:tc>
          <w:tcPr>
            <w:tcW w:w="100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2300</w:t>
            </w:r>
          </w:p>
        </w:tc>
        <w:tc>
          <w:tcPr>
            <w:tcW w:w="8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居民区</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约614人</w:t>
            </w:r>
          </w:p>
        </w:tc>
        <w:tc>
          <w:tcPr>
            <w:tcW w:w="141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渔井村</w:t>
            </w:r>
          </w:p>
        </w:tc>
        <w:tc>
          <w:tcPr>
            <w:tcW w:w="12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120.2641</w:t>
            </w:r>
            <w:r>
              <w:rPr>
                <w:rFonts w:hint="default" w:ascii="Times New Roman" w:hAnsi="Times New Roman" w:eastAsia="宋体" w:cs="Times New Roman"/>
                <w:color w:val="auto"/>
                <w:sz w:val="21"/>
                <w:szCs w:val="21"/>
                <w:highlight w:val="none"/>
                <w:lang w:val="en-US" w:eastAsia="zh-CN"/>
              </w:rPr>
              <w:t>80</w:t>
            </w:r>
          </w:p>
        </w:tc>
        <w:tc>
          <w:tcPr>
            <w:tcW w:w="1155"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27.028298</w:t>
            </w:r>
          </w:p>
        </w:tc>
        <w:tc>
          <w:tcPr>
            <w:tcW w:w="6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ES</w:t>
            </w:r>
          </w:p>
        </w:tc>
        <w:tc>
          <w:tcPr>
            <w:tcW w:w="100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3890</w:t>
            </w:r>
          </w:p>
        </w:tc>
        <w:tc>
          <w:tcPr>
            <w:tcW w:w="8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居民区</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约308人</w:t>
            </w:r>
          </w:p>
        </w:tc>
        <w:tc>
          <w:tcPr>
            <w:tcW w:w="141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仙梅村</w:t>
            </w:r>
          </w:p>
        </w:tc>
        <w:tc>
          <w:tcPr>
            <w:tcW w:w="12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120.21326</w:t>
            </w:r>
            <w:r>
              <w:rPr>
                <w:rFonts w:hint="default" w:ascii="Times New Roman" w:hAnsi="Times New Roman" w:eastAsia="宋体" w:cs="Times New Roman"/>
                <w:color w:val="auto"/>
                <w:sz w:val="21"/>
                <w:szCs w:val="21"/>
                <w:highlight w:val="none"/>
                <w:lang w:val="en-US" w:eastAsia="zh-CN"/>
              </w:rPr>
              <w:t>1</w:t>
            </w:r>
          </w:p>
        </w:tc>
        <w:tc>
          <w:tcPr>
            <w:tcW w:w="1155"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27.08044</w:t>
            </w:r>
            <w:r>
              <w:rPr>
                <w:rFonts w:hint="default" w:ascii="Times New Roman" w:hAnsi="Times New Roman" w:eastAsia="宋体" w:cs="Times New Roman"/>
                <w:color w:val="auto"/>
                <w:sz w:val="21"/>
                <w:szCs w:val="21"/>
                <w:highlight w:val="none"/>
                <w:lang w:val="en-US" w:eastAsia="zh-CN"/>
              </w:rPr>
              <w:t>1</w:t>
            </w:r>
          </w:p>
        </w:tc>
        <w:tc>
          <w:tcPr>
            <w:tcW w:w="6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WN</w:t>
            </w:r>
          </w:p>
        </w:tc>
        <w:tc>
          <w:tcPr>
            <w:tcW w:w="100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4042</w:t>
            </w:r>
          </w:p>
        </w:tc>
        <w:tc>
          <w:tcPr>
            <w:tcW w:w="8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居民区</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约467人</w:t>
            </w:r>
          </w:p>
        </w:tc>
        <w:tc>
          <w:tcPr>
            <w:tcW w:w="141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樟岐村</w:t>
            </w:r>
          </w:p>
        </w:tc>
        <w:tc>
          <w:tcPr>
            <w:tcW w:w="12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120.25480</w:t>
            </w:r>
            <w:r>
              <w:rPr>
                <w:rFonts w:hint="default" w:ascii="Times New Roman" w:hAnsi="Times New Roman" w:eastAsia="宋体" w:cs="Times New Roman"/>
                <w:color w:val="auto"/>
                <w:sz w:val="21"/>
                <w:szCs w:val="21"/>
                <w:highlight w:val="none"/>
                <w:lang w:val="en-US" w:eastAsia="zh-CN"/>
              </w:rPr>
              <w:t>3</w:t>
            </w:r>
          </w:p>
        </w:tc>
        <w:tc>
          <w:tcPr>
            <w:tcW w:w="1155"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27.08653</w:t>
            </w:r>
            <w:r>
              <w:rPr>
                <w:rFonts w:hint="default" w:ascii="Times New Roman" w:hAnsi="Times New Roman" w:eastAsia="宋体" w:cs="Times New Roman"/>
                <w:color w:val="auto"/>
                <w:sz w:val="21"/>
                <w:szCs w:val="21"/>
                <w:highlight w:val="none"/>
                <w:lang w:val="en-US" w:eastAsia="zh-CN"/>
              </w:rPr>
              <w:t>5</w:t>
            </w:r>
          </w:p>
        </w:tc>
        <w:tc>
          <w:tcPr>
            <w:tcW w:w="6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EN</w:t>
            </w:r>
          </w:p>
        </w:tc>
        <w:tc>
          <w:tcPr>
            <w:tcW w:w="100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2219</w:t>
            </w:r>
          </w:p>
        </w:tc>
        <w:tc>
          <w:tcPr>
            <w:tcW w:w="8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居民区</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约1513人</w:t>
            </w:r>
          </w:p>
        </w:tc>
        <w:tc>
          <w:tcPr>
            <w:tcW w:w="141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蒙湾村</w:t>
            </w:r>
          </w:p>
        </w:tc>
        <w:tc>
          <w:tcPr>
            <w:tcW w:w="12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120.27630</w:t>
            </w:r>
            <w:r>
              <w:rPr>
                <w:rFonts w:hint="default" w:ascii="Times New Roman" w:hAnsi="Times New Roman" w:cs="Times New Roman"/>
                <w:color w:val="auto"/>
                <w:sz w:val="21"/>
                <w:szCs w:val="21"/>
                <w:highlight w:val="none"/>
                <w:lang w:val="en-US" w:eastAsia="zh-CN"/>
              </w:rPr>
              <w:t>1</w:t>
            </w:r>
          </w:p>
        </w:tc>
        <w:tc>
          <w:tcPr>
            <w:tcW w:w="1155"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27.0804</w:t>
            </w:r>
            <w:r>
              <w:rPr>
                <w:rFonts w:hint="default" w:ascii="Times New Roman" w:hAnsi="Times New Roman" w:eastAsia="宋体" w:cs="Times New Roman"/>
                <w:color w:val="auto"/>
                <w:sz w:val="21"/>
                <w:szCs w:val="21"/>
                <w:highlight w:val="none"/>
                <w:lang w:val="en-US" w:eastAsia="zh-CN"/>
              </w:rPr>
              <w:t>60</w:t>
            </w:r>
          </w:p>
        </w:tc>
        <w:tc>
          <w:tcPr>
            <w:tcW w:w="6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EN</w:t>
            </w:r>
          </w:p>
        </w:tc>
        <w:tc>
          <w:tcPr>
            <w:tcW w:w="100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2938</w:t>
            </w:r>
          </w:p>
        </w:tc>
        <w:tc>
          <w:tcPr>
            <w:tcW w:w="8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居民区</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约798人</w:t>
            </w:r>
          </w:p>
        </w:tc>
        <w:tc>
          <w:tcPr>
            <w:tcW w:w="141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太姥山镇（5000m范围内）</w:t>
            </w:r>
          </w:p>
        </w:tc>
        <w:tc>
          <w:tcPr>
            <w:tcW w:w="12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120.250983</w:t>
            </w:r>
          </w:p>
        </w:tc>
        <w:tc>
          <w:tcPr>
            <w:tcW w:w="1155"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27.100632</w:t>
            </w:r>
          </w:p>
        </w:tc>
        <w:tc>
          <w:tcPr>
            <w:tcW w:w="6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w:t>
            </w:r>
          </w:p>
        </w:tc>
        <w:tc>
          <w:tcPr>
            <w:tcW w:w="100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3800</w:t>
            </w:r>
          </w:p>
        </w:tc>
        <w:tc>
          <w:tcPr>
            <w:tcW w:w="8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居民区</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约</w:t>
            </w:r>
            <w:r>
              <w:rPr>
                <w:rFonts w:hint="default" w:ascii="Times New Roman" w:hAnsi="Times New Roman" w:cs="Times New Roman"/>
                <w:color w:val="auto"/>
                <w:sz w:val="21"/>
                <w:szCs w:val="21"/>
                <w:highlight w:val="none"/>
                <w:lang w:val="en-US" w:eastAsia="zh-CN"/>
              </w:rPr>
              <w:t>27912</w:t>
            </w:r>
            <w:r>
              <w:rPr>
                <w:rFonts w:hint="default" w:ascii="Times New Roman" w:hAnsi="Times New Roman" w:eastAsia="宋体" w:cs="Times New Roman"/>
                <w:color w:val="auto"/>
                <w:sz w:val="21"/>
                <w:szCs w:val="21"/>
                <w:highlight w:val="none"/>
                <w:lang w:val="en-US" w:eastAsia="zh-CN"/>
              </w:rPr>
              <w:t>人</w:t>
            </w:r>
          </w:p>
        </w:tc>
        <w:tc>
          <w:tcPr>
            <w:tcW w:w="141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53" w:type="dxa"/>
            <w:gridSpan w:val="7"/>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厂址周边500m范围内人口小计</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800</w:t>
            </w:r>
            <w:r>
              <w:rPr>
                <w:rFonts w:hint="default" w:ascii="Times New Roman" w:hAnsi="Times New Roman" w:eastAsia="宋体" w:cs="Times New Roman"/>
                <w:color w:val="auto"/>
                <w:sz w:val="21"/>
                <w:szCs w:val="21"/>
                <w:highlight w:val="none"/>
                <w:lang w:val="en-US" w:eastAsia="zh-CN"/>
              </w:rPr>
              <w:t>人</w:t>
            </w:r>
          </w:p>
        </w:tc>
        <w:tc>
          <w:tcPr>
            <w:tcW w:w="141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53" w:type="dxa"/>
            <w:gridSpan w:val="7"/>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厂址周边5km范围内人口小计</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4.548</w:t>
            </w:r>
            <w:r>
              <w:rPr>
                <w:rFonts w:hint="default" w:ascii="Times New Roman" w:hAnsi="Times New Roman" w:eastAsia="宋体" w:cs="Times New Roman"/>
                <w:color w:val="auto"/>
                <w:sz w:val="21"/>
                <w:szCs w:val="21"/>
                <w:highlight w:val="none"/>
                <w:lang w:val="en-US" w:eastAsia="zh-CN"/>
              </w:rPr>
              <w:t>万人</w:t>
            </w:r>
          </w:p>
        </w:tc>
        <w:tc>
          <w:tcPr>
            <w:tcW w:w="141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53" w:type="dxa"/>
            <w:gridSpan w:val="7"/>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大气环境敏感程度E</w:t>
            </w:r>
          </w:p>
        </w:tc>
        <w:tc>
          <w:tcPr>
            <w:tcW w:w="2678"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E</w:t>
            </w:r>
            <w:r>
              <w:rPr>
                <w:rFonts w:hint="default" w:ascii="Times New Roman" w:hAnsi="Times New Roman" w:cs="Times New Roman"/>
                <w:b/>
                <w:bCs/>
                <w:color w:val="auto"/>
                <w:kern w:val="0"/>
                <w:sz w:val="21"/>
                <w:szCs w:val="21"/>
                <w:highlight w:val="none"/>
                <w:lang w:val="en-US" w:eastAsia="zh-CN" w:bidi="ar"/>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地表水</w:t>
            </w:r>
          </w:p>
        </w:tc>
        <w:tc>
          <w:tcPr>
            <w:tcW w:w="10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柏洋溪</w:t>
            </w:r>
          </w:p>
        </w:tc>
        <w:tc>
          <w:tcPr>
            <w:tcW w:w="12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155"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t>
            </w:r>
          </w:p>
        </w:tc>
        <w:tc>
          <w:tcPr>
            <w:tcW w:w="100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518</w:t>
            </w:r>
          </w:p>
        </w:tc>
        <w:tc>
          <w:tcPr>
            <w:tcW w:w="8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2"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《地表水环境质量标准》（GB3838－2002）中Ⅲ类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09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文渡滞洪区</w:t>
            </w:r>
          </w:p>
        </w:tc>
        <w:tc>
          <w:tcPr>
            <w:tcW w:w="12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155"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t>
            </w:r>
          </w:p>
        </w:tc>
        <w:tc>
          <w:tcPr>
            <w:tcW w:w="100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163</w:t>
            </w:r>
          </w:p>
        </w:tc>
        <w:tc>
          <w:tcPr>
            <w:tcW w:w="8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6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12"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53" w:type="dxa"/>
            <w:gridSpan w:val="7"/>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val="0"/>
                <w:color w:val="auto"/>
                <w:kern w:val="2"/>
                <w:sz w:val="21"/>
                <w:szCs w:val="21"/>
                <w:highlight w:val="none"/>
                <w:lang w:val="en-US" w:eastAsia="zh-CN" w:bidi="ar"/>
              </w:rPr>
              <w:t>地表水环境敏感程度E值</w:t>
            </w:r>
          </w:p>
        </w:tc>
        <w:tc>
          <w:tcPr>
            <w:tcW w:w="2678"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E2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地下水</w:t>
            </w:r>
          </w:p>
        </w:tc>
        <w:tc>
          <w:tcPr>
            <w:tcW w:w="2952"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地下水功能敏感性</w:t>
            </w:r>
          </w:p>
        </w:tc>
        <w:tc>
          <w:tcPr>
            <w:tcW w:w="5779" w:type="dxa"/>
            <w:gridSpan w:val="6"/>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包气带防污性能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952"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G3</w:t>
            </w:r>
          </w:p>
        </w:tc>
        <w:tc>
          <w:tcPr>
            <w:tcW w:w="5779" w:type="dxa"/>
            <w:gridSpan w:val="6"/>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053" w:type="dxa"/>
            <w:gridSpan w:val="7"/>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val="0"/>
                <w:color w:val="auto"/>
                <w:kern w:val="2"/>
                <w:sz w:val="21"/>
                <w:szCs w:val="21"/>
                <w:highlight w:val="none"/>
                <w:lang w:val="en-US" w:eastAsia="zh-CN" w:bidi="ar"/>
              </w:rPr>
              <w:t>地下水环境敏感程度E值</w:t>
            </w:r>
          </w:p>
        </w:tc>
        <w:tc>
          <w:tcPr>
            <w:tcW w:w="2678"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E3</w:t>
            </w:r>
          </w:p>
        </w:tc>
      </w:tr>
    </w:tbl>
    <w:p>
      <w:pPr>
        <w:numPr>
          <w:ilvl w:val="0"/>
          <w:numId w:val="0"/>
        </w:numPr>
        <w:bidi w:val="0"/>
        <w:ind w:leftChars="0"/>
        <w:jc w:val="center"/>
        <w:rPr>
          <w:rFonts w:hint="default" w:ascii="Times New Roman" w:hAnsi="Times New Roman" w:cs="Times New Roman"/>
          <w:color w:val="auto"/>
          <w:highlight w:val="none"/>
          <w:lang w:val="en-US" w:eastAsia="zh-CN"/>
        </w:rPr>
      </w:pPr>
    </w:p>
    <w:p>
      <w:pPr>
        <w:keepNext/>
        <w:keepLines/>
        <w:widowControl w:val="0"/>
        <w:numPr>
          <w:ilvl w:val="4"/>
          <w:numId w:val="12"/>
        </w:numPr>
        <w:bidi w:val="0"/>
        <w:spacing w:beforeAutospacing="0" w:afterLines="0" w:afterAutospacing="0" w:line="360" w:lineRule="auto"/>
        <w:ind w:left="0" w:leftChars="0" w:firstLine="0" w:firstLineChars="0"/>
        <w:jc w:val="center"/>
        <w:outlineLvl w:val="4"/>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图3.4-1 环境保护目标分布图</w:t>
      </w:r>
    </w:p>
    <w:p>
      <w:pPr>
        <w:rPr>
          <w:rFonts w:hint="default" w:ascii="Times New Roman" w:hAnsi="Times New Roman" w:cs="Times New Roman"/>
          <w:color w:val="auto"/>
          <w:highlight w:val="none"/>
        </w:rPr>
        <w:sectPr>
          <w:pgSz w:w="11906" w:h="16838"/>
          <w:pgMar w:top="1417" w:right="1417" w:bottom="1417" w:left="1417" w:header="851" w:footer="992" w:gutter="0"/>
          <w:pgBorders>
            <w:top w:val="none" w:sz="0" w:space="0"/>
            <w:left w:val="none" w:sz="0" w:space="0"/>
            <w:bottom w:val="none" w:sz="0" w:space="0"/>
            <w:right w:val="none" w:sz="0" w:space="0"/>
          </w:pgBorders>
          <w:cols w:space="720" w:num="1"/>
          <w:docGrid w:type="lines" w:linePitch="312" w:charSpace="0"/>
        </w:sectPr>
      </w:pPr>
    </w:p>
    <w:p>
      <w:pPr>
        <w:pStyle w:val="4"/>
        <w:numPr>
          <w:ilvl w:val="2"/>
          <w:numId w:val="10"/>
        </w:numPr>
        <w:rPr>
          <w:rFonts w:hint="default" w:ascii="Times New Roman" w:hAnsi="Times New Roman" w:eastAsia="宋体" w:cs="Times New Roman"/>
          <w:b/>
          <w:bCs/>
          <w:color w:val="auto"/>
          <w:kern w:val="0"/>
          <w:sz w:val="24"/>
          <w:szCs w:val="28"/>
          <w:highlight w:val="none"/>
          <w:lang w:val="en-US" w:eastAsia="zh-CN" w:bidi="ar-SA"/>
        </w:rPr>
      </w:pPr>
      <w:r>
        <w:rPr>
          <w:rFonts w:hint="default" w:ascii="Times New Roman" w:hAnsi="Times New Roman" w:eastAsia="宋体" w:cs="Times New Roman"/>
          <w:b/>
          <w:bCs/>
          <w:color w:val="auto"/>
          <w:kern w:val="0"/>
          <w:sz w:val="24"/>
          <w:szCs w:val="28"/>
          <w:highlight w:val="none"/>
          <w:lang w:val="en-US" w:eastAsia="zh-CN" w:bidi="ar-SA"/>
        </w:rPr>
        <w:t>环境风险潜势划分</w:t>
      </w:r>
    </w:p>
    <w:p>
      <w:pPr>
        <w:pStyle w:val="5"/>
        <w:bidi w:val="0"/>
        <w:rPr>
          <w:rFonts w:hint="default"/>
          <w:color w:val="auto"/>
          <w:highlight w:val="none"/>
          <w:lang w:val="en-US" w:eastAsia="zh-CN"/>
        </w:rPr>
      </w:pPr>
      <w:r>
        <w:rPr>
          <w:rFonts w:hint="default"/>
          <w:color w:val="auto"/>
          <w:highlight w:val="none"/>
          <w:lang w:val="en-US" w:eastAsia="zh-CN"/>
        </w:rPr>
        <w:t>根据建设项目涉及的物质和工艺系统的危险性及其所在地的环境敏感程度，结合事故情形下环境影响途径，对建设项目潜在的环境危害程度进行概化分析，按《建设项目环境风险评价技术导则》（HJ169-2018）表3建设项目环境风险潜势划分，详见表3.5-1</w:t>
      </w:r>
      <w:r>
        <w:rPr>
          <w:rFonts w:hint="eastAsia"/>
          <w:color w:val="auto"/>
          <w:highlight w:val="none"/>
          <w:lang w:val="en-US" w:eastAsia="zh-CN"/>
        </w:rPr>
        <w:t>。</w:t>
      </w:r>
    </w:p>
    <w:p>
      <w:pPr>
        <w:keepNext/>
        <w:keepLines/>
        <w:widowControl w:val="0"/>
        <w:numPr>
          <w:ilvl w:val="4"/>
          <w:numId w:val="12"/>
        </w:numPr>
        <w:bidi w:val="0"/>
        <w:spacing w:beforeAutospacing="0" w:afterLines="0" w:afterAutospacing="0" w:line="360" w:lineRule="auto"/>
        <w:ind w:left="0" w:leftChars="0" w:firstLine="0" w:firstLineChars="0"/>
        <w:jc w:val="center"/>
        <w:outlineLvl w:val="4"/>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表3.5-1 建设项目环境风险潜势划分</w:t>
      </w:r>
    </w:p>
    <w:tbl>
      <w:tblPr>
        <w:tblStyle w:val="11"/>
        <w:tblW w:w="928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68"/>
        <w:gridCol w:w="1729"/>
        <w:gridCol w:w="1729"/>
        <w:gridCol w:w="1729"/>
        <w:gridCol w:w="17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368" w:type="dxa"/>
            <w:vMerge w:val="restart"/>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环境敏感程度（E）</w:t>
            </w:r>
          </w:p>
        </w:tc>
        <w:tc>
          <w:tcPr>
            <w:tcW w:w="6918" w:type="dxa"/>
            <w:gridSpan w:val="4"/>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危险物质及工艺系统危险性（P）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368" w:type="dxa"/>
            <w:vMerge w:val="continue"/>
            <w:vAlign w:val="center"/>
          </w:tcPr>
          <w:p>
            <w:pPr>
              <w:widowControl w:val="0"/>
              <w:adjustRightInd w:val="0"/>
              <w:spacing w:line="240" w:lineRule="auto"/>
              <w:ind w:firstLine="0" w:firstLineChars="0"/>
              <w:jc w:val="center"/>
              <w:rPr>
                <w:rFonts w:hint="default" w:ascii="Times New Roman" w:hAnsi="Times New Roman" w:eastAsia="宋体" w:cs="Times New Roman"/>
                <w:bCs/>
                <w:color w:val="auto"/>
                <w:kern w:val="2"/>
                <w:sz w:val="18"/>
                <w:szCs w:val="24"/>
                <w:highlight w:val="none"/>
                <w:lang w:val="en-US" w:eastAsia="zh-CN" w:bidi="ar-SA"/>
              </w:rPr>
            </w:pPr>
          </w:p>
        </w:tc>
        <w:tc>
          <w:tcPr>
            <w:tcW w:w="1729" w:type="dxa"/>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极高危害（P1）</w:t>
            </w:r>
          </w:p>
        </w:tc>
        <w:tc>
          <w:tcPr>
            <w:tcW w:w="1729" w:type="dxa"/>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高度危害（P2）</w:t>
            </w:r>
          </w:p>
        </w:tc>
        <w:tc>
          <w:tcPr>
            <w:tcW w:w="1729" w:type="dxa"/>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中度危害（P3）</w:t>
            </w:r>
          </w:p>
        </w:tc>
        <w:tc>
          <w:tcPr>
            <w:tcW w:w="1731" w:type="dxa"/>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轻度危害（P4）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368" w:type="dxa"/>
            <w:shd w:val="clear" w:color="auto" w:fill="auto"/>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环境高度敏感区（E1）</w:t>
            </w:r>
          </w:p>
        </w:tc>
        <w:tc>
          <w:tcPr>
            <w:tcW w:w="1729" w:type="dxa"/>
            <w:shd w:val="clear" w:color="auto" w:fill="auto"/>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 4 \* ROMAN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eastAsia="宋体" w:cs="Times New Roman"/>
                <w:color w:val="auto"/>
                <w:kern w:val="2"/>
                <w:sz w:val="21"/>
                <w:szCs w:val="21"/>
                <w:highlight w:val="none"/>
                <w:lang w:val="en-US" w:eastAsia="zh-CN" w:bidi="ar-SA"/>
              </w:rPr>
              <w:t>IV</w:t>
            </w:r>
            <w:r>
              <w:rPr>
                <w:rFonts w:hint="default" w:ascii="Times New Roman" w:hAnsi="Times New Roman" w:eastAsia="宋体" w:cs="Times New Roman"/>
                <w:color w:val="auto"/>
                <w:kern w:val="2"/>
                <w:sz w:val="21"/>
                <w:szCs w:val="21"/>
                <w:highlight w:val="none"/>
                <w:lang w:val="en-US" w:eastAsia="zh-CN" w:bidi="ar-SA"/>
              </w:rPr>
              <w:fldChar w:fldCharType="end"/>
            </w:r>
            <w:r>
              <w:rPr>
                <w:rFonts w:hint="default" w:ascii="Times New Roman" w:hAnsi="Times New Roman" w:eastAsia="宋体" w:cs="Times New Roman"/>
                <w:color w:val="auto"/>
                <w:kern w:val="2"/>
                <w:sz w:val="21"/>
                <w:szCs w:val="21"/>
                <w:highlight w:val="none"/>
                <w:vertAlign w:val="superscript"/>
                <w:lang w:val="en-US" w:eastAsia="zh-CN" w:bidi="ar-SA"/>
              </w:rPr>
              <w:t>+</w:t>
            </w:r>
          </w:p>
        </w:tc>
        <w:tc>
          <w:tcPr>
            <w:tcW w:w="1729" w:type="dxa"/>
            <w:shd w:val="clear" w:color="auto" w:fill="auto"/>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 4 \* ROMAN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eastAsia="宋体" w:cs="Times New Roman"/>
                <w:color w:val="auto"/>
                <w:kern w:val="2"/>
                <w:sz w:val="21"/>
                <w:szCs w:val="21"/>
                <w:highlight w:val="none"/>
                <w:lang w:val="en-US" w:eastAsia="zh-CN" w:bidi="ar-SA"/>
              </w:rPr>
              <w:t>IV</w:t>
            </w:r>
            <w:r>
              <w:rPr>
                <w:rFonts w:hint="default" w:ascii="Times New Roman" w:hAnsi="Times New Roman" w:eastAsia="宋体" w:cs="Times New Roman"/>
                <w:color w:val="auto"/>
                <w:kern w:val="2"/>
                <w:sz w:val="21"/>
                <w:szCs w:val="21"/>
                <w:highlight w:val="none"/>
                <w:lang w:val="en-US" w:eastAsia="zh-CN" w:bidi="ar-SA"/>
              </w:rPr>
              <w:fldChar w:fldCharType="end"/>
            </w:r>
          </w:p>
        </w:tc>
        <w:tc>
          <w:tcPr>
            <w:tcW w:w="1729" w:type="dxa"/>
            <w:shd w:val="clear" w:color="auto" w:fill="auto"/>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 3 \* ROMAN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cs="Times New Roman"/>
                <w:color w:val="auto"/>
                <w:kern w:val="2"/>
                <w:sz w:val="21"/>
                <w:szCs w:val="21"/>
                <w:highlight w:val="none"/>
                <w:lang w:val="en-US" w:eastAsia="zh-CN" w:bidi="ar-SA"/>
              </w:rPr>
              <w:t>Ⅲ</w:t>
            </w:r>
            <w:r>
              <w:rPr>
                <w:rFonts w:hint="default" w:ascii="Times New Roman" w:hAnsi="Times New Roman" w:eastAsia="宋体" w:cs="Times New Roman"/>
                <w:color w:val="auto"/>
                <w:kern w:val="2"/>
                <w:sz w:val="21"/>
                <w:szCs w:val="21"/>
                <w:highlight w:val="none"/>
                <w:lang w:val="en-US" w:eastAsia="zh-CN" w:bidi="ar-SA"/>
              </w:rPr>
              <w:fldChar w:fldCharType="end"/>
            </w:r>
          </w:p>
        </w:tc>
        <w:tc>
          <w:tcPr>
            <w:tcW w:w="1731" w:type="dxa"/>
            <w:shd w:val="clear" w:color="auto" w:fill="auto"/>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 3 \* ROMAN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cs="Times New Roman"/>
                <w:color w:val="auto"/>
                <w:kern w:val="2"/>
                <w:sz w:val="21"/>
                <w:szCs w:val="21"/>
                <w:highlight w:val="none"/>
                <w:lang w:val="en-US" w:eastAsia="zh-CN" w:bidi="ar-SA"/>
              </w:rPr>
              <w:t>Ⅲ</w:t>
            </w:r>
            <w:r>
              <w:rPr>
                <w:rFonts w:hint="default" w:ascii="Times New Roman" w:hAnsi="Times New Roman" w:eastAsia="宋体" w:cs="Times New Roman"/>
                <w:color w:val="auto"/>
                <w:kern w:val="2"/>
                <w:sz w:val="21"/>
                <w:szCs w:val="21"/>
                <w:highlight w:val="none"/>
                <w:lang w:val="en-US" w:eastAsia="zh-CN" w:bidi="ar-SA"/>
              </w:rPr>
              <w:fldChar w:fldCharType="end"/>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368" w:type="dxa"/>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环境中度敏感区（E2）</w:t>
            </w:r>
          </w:p>
        </w:tc>
        <w:tc>
          <w:tcPr>
            <w:tcW w:w="1729" w:type="dxa"/>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 4 \* ROMAN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eastAsia="宋体" w:cs="Times New Roman"/>
                <w:color w:val="auto"/>
                <w:kern w:val="2"/>
                <w:sz w:val="21"/>
                <w:szCs w:val="21"/>
                <w:highlight w:val="none"/>
                <w:lang w:val="en-US" w:eastAsia="zh-CN" w:bidi="ar-SA"/>
              </w:rPr>
              <w:t>IV</w:t>
            </w:r>
            <w:r>
              <w:rPr>
                <w:rFonts w:hint="default" w:ascii="Times New Roman" w:hAnsi="Times New Roman" w:eastAsia="宋体" w:cs="Times New Roman"/>
                <w:color w:val="auto"/>
                <w:kern w:val="2"/>
                <w:sz w:val="21"/>
                <w:szCs w:val="21"/>
                <w:highlight w:val="none"/>
                <w:lang w:val="en-US" w:eastAsia="zh-CN" w:bidi="ar-SA"/>
              </w:rPr>
              <w:fldChar w:fldCharType="end"/>
            </w:r>
          </w:p>
        </w:tc>
        <w:tc>
          <w:tcPr>
            <w:tcW w:w="1729" w:type="dxa"/>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 3 \* ROMAN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cs="Times New Roman"/>
                <w:color w:val="auto"/>
                <w:kern w:val="2"/>
                <w:sz w:val="21"/>
                <w:szCs w:val="21"/>
                <w:highlight w:val="none"/>
                <w:lang w:val="en-US" w:eastAsia="zh-CN" w:bidi="ar-SA"/>
              </w:rPr>
              <w:t>Ⅲ</w:t>
            </w:r>
            <w:r>
              <w:rPr>
                <w:rFonts w:hint="default" w:ascii="Times New Roman" w:hAnsi="Times New Roman" w:eastAsia="宋体" w:cs="Times New Roman"/>
                <w:color w:val="auto"/>
                <w:kern w:val="2"/>
                <w:sz w:val="21"/>
                <w:szCs w:val="21"/>
                <w:highlight w:val="none"/>
                <w:lang w:val="en-US" w:eastAsia="zh-CN" w:bidi="ar-SA"/>
              </w:rPr>
              <w:fldChar w:fldCharType="end"/>
            </w:r>
          </w:p>
        </w:tc>
        <w:tc>
          <w:tcPr>
            <w:tcW w:w="1729" w:type="dxa"/>
            <w:shd w:val="clear" w:color="auto" w:fill="auto"/>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 3 \* ROMAN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cs="Times New Roman"/>
                <w:color w:val="auto"/>
                <w:kern w:val="2"/>
                <w:sz w:val="21"/>
                <w:szCs w:val="21"/>
                <w:highlight w:val="none"/>
                <w:lang w:val="en-US" w:eastAsia="zh-CN" w:bidi="ar-SA"/>
              </w:rPr>
              <w:t>Ⅲ</w:t>
            </w:r>
            <w:r>
              <w:rPr>
                <w:rFonts w:hint="default" w:ascii="Times New Roman" w:hAnsi="Times New Roman" w:eastAsia="宋体" w:cs="Times New Roman"/>
                <w:color w:val="auto"/>
                <w:kern w:val="2"/>
                <w:sz w:val="21"/>
                <w:szCs w:val="21"/>
                <w:highlight w:val="none"/>
                <w:lang w:val="en-US" w:eastAsia="zh-CN" w:bidi="ar-SA"/>
              </w:rPr>
              <w:fldChar w:fldCharType="end"/>
            </w:r>
          </w:p>
        </w:tc>
        <w:tc>
          <w:tcPr>
            <w:tcW w:w="1731" w:type="dxa"/>
            <w:shd w:val="clear" w:color="auto" w:fill="D7D7D7" w:themeFill="background1" w:themeFillShade="D8"/>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 2 \* ROMAN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eastAsia="宋体" w:cs="Times New Roman"/>
                <w:color w:val="auto"/>
                <w:kern w:val="2"/>
                <w:sz w:val="21"/>
                <w:szCs w:val="21"/>
                <w:highlight w:val="none"/>
                <w:lang w:val="en-US" w:eastAsia="zh-CN" w:bidi="ar-SA"/>
              </w:rPr>
              <w:t>II</w:t>
            </w:r>
            <w:r>
              <w:rPr>
                <w:rFonts w:hint="default" w:ascii="Times New Roman" w:hAnsi="Times New Roman" w:eastAsia="宋体" w:cs="Times New Roman"/>
                <w:color w:val="auto"/>
                <w:kern w:val="2"/>
                <w:sz w:val="21"/>
                <w:szCs w:val="21"/>
                <w:highlight w:val="none"/>
                <w:lang w:val="en-US" w:eastAsia="zh-CN" w:bidi="ar-SA"/>
              </w:rPr>
              <w:fldChar w:fldCharType="end"/>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368" w:type="dxa"/>
            <w:shd w:val="clear" w:color="auto" w:fill="auto"/>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环境低度敏感区（E3）</w:t>
            </w:r>
          </w:p>
        </w:tc>
        <w:tc>
          <w:tcPr>
            <w:tcW w:w="1729" w:type="dxa"/>
            <w:shd w:val="clear" w:color="auto" w:fill="auto"/>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 3 \* ROMAN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cs="Times New Roman"/>
                <w:color w:val="auto"/>
                <w:kern w:val="2"/>
                <w:sz w:val="21"/>
                <w:szCs w:val="21"/>
                <w:highlight w:val="none"/>
                <w:lang w:val="en-US" w:eastAsia="zh-CN" w:bidi="ar-SA"/>
              </w:rPr>
              <w:t>Ⅲ</w:t>
            </w:r>
            <w:r>
              <w:rPr>
                <w:rFonts w:hint="default" w:ascii="Times New Roman" w:hAnsi="Times New Roman" w:eastAsia="宋体" w:cs="Times New Roman"/>
                <w:color w:val="auto"/>
                <w:kern w:val="2"/>
                <w:sz w:val="21"/>
                <w:szCs w:val="21"/>
                <w:highlight w:val="none"/>
                <w:lang w:val="en-US" w:eastAsia="zh-CN" w:bidi="ar-SA"/>
              </w:rPr>
              <w:fldChar w:fldCharType="end"/>
            </w:r>
          </w:p>
        </w:tc>
        <w:tc>
          <w:tcPr>
            <w:tcW w:w="1729" w:type="dxa"/>
            <w:shd w:val="clear" w:color="auto" w:fill="auto"/>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 3 \* ROMAN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cs="Times New Roman"/>
                <w:color w:val="auto"/>
                <w:kern w:val="2"/>
                <w:sz w:val="21"/>
                <w:szCs w:val="21"/>
                <w:highlight w:val="none"/>
                <w:lang w:val="en-US" w:eastAsia="zh-CN" w:bidi="ar-SA"/>
              </w:rPr>
              <w:t>Ⅲ</w:t>
            </w:r>
            <w:r>
              <w:rPr>
                <w:rFonts w:hint="default" w:ascii="Times New Roman" w:hAnsi="Times New Roman" w:eastAsia="宋体" w:cs="Times New Roman"/>
                <w:color w:val="auto"/>
                <w:kern w:val="2"/>
                <w:sz w:val="21"/>
                <w:szCs w:val="21"/>
                <w:highlight w:val="none"/>
                <w:lang w:val="en-US" w:eastAsia="zh-CN" w:bidi="ar-SA"/>
              </w:rPr>
              <w:fldChar w:fldCharType="end"/>
            </w:r>
          </w:p>
        </w:tc>
        <w:tc>
          <w:tcPr>
            <w:tcW w:w="1729" w:type="dxa"/>
            <w:shd w:val="clear" w:color="auto" w:fill="auto"/>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 2 \* ROMAN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eastAsia="宋体" w:cs="Times New Roman"/>
                <w:color w:val="auto"/>
                <w:kern w:val="2"/>
                <w:sz w:val="21"/>
                <w:szCs w:val="21"/>
                <w:highlight w:val="none"/>
                <w:lang w:val="en-US" w:eastAsia="zh-CN" w:bidi="ar-SA"/>
              </w:rPr>
              <w:t>II</w:t>
            </w:r>
            <w:r>
              <w:rPr>
                <w:rFonts w:hint="default" w:ascii="Times New Roman" w:hAnsi="Times New Roman" w:eastAsia="宋体" w:cs="Times New Roman"/>
                <w:color w:val="auto"/>
                <w:kern w:val="2"/>
                <w:sz w:val="21"/>
                <w:szCs w:val="21"/>
                <w:highlight w:val="none"/>
                <w:lang w:val="en-US" w:eastAsia="zh-CN" w:bidi="ar-SA"/>
              </w:rPr>
              <w:fldChar w:fldCharType="end"/>
            </w:r>
          </w:p>
        </w:tc>
        <w:tc>
          <w:tcPr>
            <w:tcW w:w="1731" w:type="dxa"/>
            <w:shd w:val="clear" w:color="auto" w:fill="D7D7D7" w:themeFill="background1" w:themeFillShade="D8"/>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 1 \* ROMAN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eastAsia="宋体" w:cs="Times New Roman"/>
                <w:color w:val="auto"/>
                <w:kern w:val="2"/>
                <w:sz w:val="21"/>
                <w:szCs w:val="21"/>
                <w:highlight w:val="none"/>
                <w:lang w:val="en-US" w:eastAsia="zh-CN" w:bidi="ar-SA"/>
              </w:rPr>
              <w:t>I</w:t>
            </w:r>
            <w:r>
              <w:rPr>
                <w:rFonts w:hint="default" w:ascii="Times New Roman" w:hAnsi="Times New Roman" w:eastAsia="宋体" w:cs="Times New Roman"/>
                <w:color w:val="auto"/>
                <w:kern w:val="2"/>
                <w:sz w:val="21"/>
                <w:szCs w:val="21"/>
                <w:highlight w:val="none"/>
                <w:lang w:val="en-US" w:eastAsia="zh-CN" w:bidi="ar-SA"/>
              </w:rPr>
              <w:fldChar w:fldCharType="end"/>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86" w:type="dxa"/>
            <w:gridSpan w:val="5"/>
            <w:vAlign w:val="center"/>
          </w:tcPr>
          <w:p>
            <w:pPr>
              <w:widowControl w:val="0"/>
              <w:adjustRightInd w:val="0"/>
              <w:spacing w:line="240" w:lineRule="auto"/>
              <w:ind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注：</w:t>
            </w: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 4 \* ROMAN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eastAsia="宋体" w:cs="Times New Roman"/>
                <w:color w:val="auto"/>
                <w:kern w:val="2"/>
                <w:sz w:val="21"/>
                <w:szCs w:val="21"/>
                <w:highlight w:val="none"/>
                <w:lang w:val="en-US" w:eastAsia="zh-CN" w:bidi="ar-SA"/>
              </w:rPr>
              <w:t>IV</w:t>
            </w:r>
            <w:r>
              <w:rPr>
                <w:rFonts w:hint="default" w:ascii="Times New Roman" w:hAnsi="Times New Roman" w:eastAsia="宋体" w:cs="Times New Roman"/>
                <w:color w:val="auto"/>
                <w:kern w:val="2"/>
                <w:sz w:val="21"/>
                <w:szCs w:val="21"/>
                <w:highlight w:val="none"/>
                <w:lang w:val="en-US" w:eastAsia="zh-CN" w:bidi="ar-SA"/>
              </w:rPr>
              <w:fldChar w:fldCharType="end"/>
            </w:r>
            <w:r>
              <w:rPr>
                <w:rFonts w:hint="default" w:ascii="Times New Roman" w:hAnsi="Times New Roman" w:eastAsia="宋体" w:cs="Times New Roman"/>
                <w:color w:val="auto"/>
                <w:kern w:val="2"/>
                <w:sz w:val="21"/>
                <w:szCs w:val="21"/>
                <w:highlight w:val="none"/>
                <w:vertAlign w:val="superscript"/>
                <w:lang w:val="en-US" w:eastAsia="zh-CN" w:bidi="ar-SA"/>
              </w:rPr>
              <w:t>+</w:t>
            </w:r>
            <w:r>
              <w:rPr>
                <w:rFonts w:hint="default" w:ascii="Times New Roman" w:hAnsi="Times New Roman" w:eastAsia="宋体" w:cs="Times New Roman"/>
                <w:color w:val="auto"/>
                <w:kern w:val="2"/>
                <w:sz w:val="21"/>
                <w:szCs w:val="21"/>
                <w:highlight w:val="none"/>
                <w:lang w:val="en-US" w:eastAsia="zh-CN" w:bidi="ar-SA"/>
              </w:rPr>
              <w:t>为极高环境风险。</w:t>
            </w:r>
          </w:p>
        </w:tc>
      </w:tr>
    </w:tbl>
    <w:p>
      <w:pPr>
        <w:spacing w:line="240" w:lineRule="auto"/>
        <w:ind w:firstLine="480" w:firstLineChars="200"/>
        <w:rPr>
          <w:rFonts w:hint="default" w:ascii="Times New Roman" w:hAnsi="Times New Roman" w:eastAsia="宋体" w:cs="Times New Roman"/>
          <w:color w:val="auto"/>
          <w:sz w:val="24"/>
          <w:highlight w:val="none"/>
          <w:lang w:val="en-US" w:eastAsia="zh-CN"/>
        </w:rPr>
      </w:pPr>
    </w:p>
    <w:p>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项目大气环境危险物质及工艺系统危险性为P</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，大气环境敏感度为E2，项目大气环境风险潜势等级为Ⅱ级；地表水环境敏感度为E2，项目地表水环境风险潜势等级为Ⅱ级；地下水环境敏感度为E3，项目地下水环境风险潜势等级为Ⅰ级。</w:t>
      </w:r>
    </w:p>
    <w:p>
      <w:pPr>
        <w:pStyle w:val="4"/>
        <w:numPr>
          <w:ilvl w:val="2"/>
          <w:numId w:val="10"/>
        </w:numPr>
        <w:rPr>
          <w:rFonts w:hint="default" w:ascii="Times New Roman" w:hAnsi="Times New Roman" w:eastAsia="宋体" w:cs="Times New Roman"/>
          <w:b/>
          <w:bCs/>
          <w:color w:val="auto"/>
          <w:kern w:val="0"/>
          <w:sz w:val="24"/>
          <w:szCs w:val="28"/>
          <w:highlight w:val="none"/>
          <w:lang w:val="en-US" w:eastAsia="zh-CN" w:bidi="ar-SA"/>
        </w:rPr>
      </w:pPr>
      <w:r>
        <w:rPr>
          <w:rFonts w:hint="default" w:ascii="Times New Roman" w:hAnsi="Times New Roman" w:eastAsia="宋体" w:cs="Times New Roman"/>
          <w:b/>
          <w:bCs/>
          <w:color w:val="auto"/>
          <w:kern w:val="0"/>
          <w:sz w:val="24"/>
          <w:szCs w:val="28"/>
          <w:highlight w:val="none"/>
          <w:lang w:val="en-US" w:eastAsia="zh-CN" w:bidi="ar-SA"/>
        </w:rPr>
        <w:t>风险评价等级</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（1）环境风险评价等级</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根据《建设项目环境风险评价技术导则》（HJ169-2018）表1评价工作等级划分，本项目大气环境风险评价等级为</w:t>
      </w:r>
      <w:r>
        <w:rPr>
          <w:rFonts w:hint="eastAsia" w:cs="Times New Roman"/>
          <w:color w:val="auto"/>
          <w:sz w:val="24"/>
          <w:highlight w:val="none"/>
          <w:lang w:val="en-US" w:eastAsia="zh-CN"/>
        </w:rPr>
        <w:t>三</w:t>
      </w:r>
      <w:r>
        <w:rPr>
          <w:rFonts w:hint="default" w:ascii="Times New Roman" w:hAnsi="Times New Roman" w:eastAsia="宋体" w:cs="Times New Roman"/>
          <w:color w:val="auto"/>
          <w:sz w:val="24"/>
          <w:highlight w:val="none"/>
          <w:lang w:val="en-US" w:eastAsia="zh-CN"/>
        </w:rPr>
        <w:t>级，地表水环境风险评价等级为</w:t>
      </w:r>
      <w:r>
        <w:rPr>
          <w:rFonts w:hint="eastAsia" w:cs="Times New Roman"/>
          <w:color w:val="auto"/>
          <w:sz w:val="24"/>
          <w:highlight w:val="none"/>
          <w:lang w:val="en-US" w:eastAsia="zh-CN"/>
        </w:rPr>
        <w:t>三</w:t>
      </w:r>
      <w:r>
        <w:rPr>
          <w:rFonts w:hint="default" w:ascii="Times New Roman" w:hAnsi="Times New Roman" w:eastAsia="宋体" w:cs="Times New Roman"/>
          <w:color w:val="auto"/>
          <w:sz w:val="24"/>
          <w:highlight w:val="none"/>
          <w:lang w:val="en-US" w:eastAsia="zh-CN"/>
        </w:rPr>
        <w:t>级，地下水环境</w:t>
      </w:r>
      <w:r>
        <w:rPr>
          <w:rFonts w:hint="eastAsia" w:cs="Times New Roman"/>
          <w:color w:val="auto"/>
          <w:sz w:val="24"/>
          <w:highlight w:val="none"/>
          <w:lang w:val="en-US" w:eastAsia="zh-CN"/>
        </w:rPr>
        <w:t>风险</w:t>
      </w:r>
      <w:r>
        <w:rPr>
          <w:rFonts w:hint="default" w:ascii="Times New Roman" w:hAnsi="Times New Roman" w:eastAsia="宋体" w:cs="Times New Roman"/>
          <w:color w:val="auto"/>
          <w:sz w:val="24"/>
          <w:highlight w:val="none"/>
          <w:lang w:val="en-US" w:eastAsia="zh-CN"/>
        </w:rPr>
        <w:t>为</w:t>
      </w:r>
      <w:r>
        <w:rPr>
          <w:rFonts w:hint="eastAsia" w:cs="Times New Roman"/>
          <w:color w:val="auto"/>
          <w:sz w:val="24"/>
          <w:highlight w:val="none"/>
          <w:lang w:val="en-US" w:eastAsia="zh-CN"/>
        </w:rPr>
        <w:t>简单分析</w:t>
      </w:r>
      <w:r>
        <w:rPr>
          <w:rFonts w:hint="default" w:ascii="Times New Roman" w:hAnsi="Times New Roman" w:eastAsia="宋体" w:cs="Times New Roman"/>
          <w:color w:val="auto"/>
          <w:sz w:val="24"/>
          <w:highlight w:val="none"/>
          <w:lang w:val="en-US" w:eastAsia="zh-CN"/>
        </w:rPr>
        <w:t>，取各要素等级的相对高值，因此项目环境风险评价等级为</w:t>
      </w:r>
      <w:r>
        <w:rPr>
          <w:rFonts w:hint="eastAsia" w:ascii="Times New Roman" w:hAnsi="Times New Roman" w:cs="Times New Roman"/>
          <w:color w:val="auto"/>
          <w:sz w:val="24"/>
          <w:highlight w:val="none"/>
          <w:lang w:val="en-US" w:eastAsia="zh-CN"/>
        </w:rPr>
        <w:t>三</w:t>
      </w:r>
      <w:r>
        <w:rPr>
          <w:rFonts w:hint="default" w:ascii="Times New Roman" w:hAnsi="Times New Roman" w:eastAsia="宋体" w:cs="Times New Roman"/>
          <w:color w:val="auto"/>
          <w:sz w:val="24"/>
          <w:highlight w:val="none"/>
          <w:lang w:val="en-US" w:eastAsia="zh-CN"/>
        </w:rPr>
        <w:t>级。项目评价等级判定结果详见表3.6-1。</w:t>
      </w:r>
    </w:p>
    <w:p>
      <w:pPr>
        <w:keepNext/>
        <w:keepLines/>
        <w:widowControl w:val="0"/>
        <w:numPr>
          <w:ilvl w:val="4"/>
          <w:numId w:val="12"/>
        </w:numPr>
        <w:bidi w:val="0"/>
        <w:spacing w:beforeAutospacing="0" w:afterLines="0" w:afterAutospacing="0" w:line="360" w:lineRule="auto"/>
        <w:ind w:left="0" w:leftChars="0" w:firstLine="0" w:firstLineChars="0"/>
        <w:jc w:val="center"/>
        <w:outlineLvl w:val="4"/>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表3.6-1 风险评价等级</w:t>
      </w:r>
    </w:p>
    <w:tbl>
      <w:tblPr>
        <w:tblStyle w:val="11"/>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53"/>
        <w:gridCol w:w="1855"/>
        <w:gridCol w:w="1857"/>
        <w:gridCol w:w="1857"/>
        <w:gridCol w:w="18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3" w:type="dxa"/>
            <w:tcBorders>
              <w:tl2br w:val="nil"/>
              <w:tr2bl w:val="nil"/>
            </w:tcBorders>
            <w:shd w:val="clear" w:color="auto" w:fill="auto"/>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环境风险潜势</w:t>
            </w:r>
          </w:p>
        </w:tc>
        <w:tc>
          <w:tcPr>
            <w:tcW w:w="1855" w:type="dxa"/>
            <w:tcBorders>
              <w:tl2br w:val="nil"/>
              <w:tr2bl w:val="nil"/>
            </w:tcBorders>
            <w:shd w:val="clear" w:color="auto" w:fill="auto"/>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Ⅳ、Ⅳ+</w:t>
            </w:r>
          </w:p>
        </w:tc>
        <w:tc>
          <w:tcPr>
            <w:tcW w:w="1857" w:type="dxa"/>
            <w:tcBorders>
              <w:tl2br w:val="nil"/>
              <w:tr2bl w:val="nil"/>
            </w:tcBorders>
            <w:shd w:val="clear" w:color="auto" w:fill="auto"/>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Ⅲ</w:t>
            </w:r>
          </w:p>
        </w:tc>
        <w:tc>
          <w:tcPr>
            <w:tcW w:w="1857" w:type="dxa"/>
            <w:tcBorders>
              <w:tl2br w:val="nil"/>
              <w:tr2bl w:val="nil"/>
            </w:tcBorders>
            <w:shd w:val="clear" w:color="auto" w:fill="D7D7D7" w:themeFill="background1" w:themeFillShade="D8"/>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Ⅱ</w:t>
            </w:r>
          </w:p>
        </w:tc>
        <w:tc>
          <w:tcPr>
            <w:tcW w:w="1864" w:type="dxa"/>
            <w:tcBorders>
              <w:tl2br w:val="nil"/>
              <w:tr2bl w:val="nil"/>
            </w:tcBorders>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3" w:type="dxa"/>
            <w:tcBorders>
              <w:tl2br w:val="nil"/>
              <w:tr2bl w:val="nil"/>
            </w:tcBorders>
            <w:shd w:val="clear" w:color="auto" w:fill="auto"/>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评价工作等级</w:t>
            </w:r>
          </w:p>
        </w:tc>
        <w:tc>
          <w:tcPr>
            <w:tcW w:w="1855" w:type="dxa"/>
            <w:tcBorders>
              <w:tl2br w:val="nil"/>
              <w:tr2bl w:val="nil"/>
            </w:tcBorders>
            <w:shd w:val="clear" w:color="auto" w:fill="auto"/>
            <w:vAlign w:val="center"/>
          </w:tcPr>
          <w:p>
            <w:pPr>
              <w:widowControl w:val="0"/>
              <w:adjustRightInd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一</w:t>
            </w:r>
          </w:p>
        </w:tc>
        <w:tc>
          <w:tcPr>
            <w:tcW w:w="1857" w:type="dxa"/>
            <w:tcBorders>
              <w:tl2br w:val="nil"/>
              <w:tr2bl w:val="nil"/>
            </w:tcBorders>
            <w:shd w:val="clear" w:color="auto" w:fill="auto"/>
            <w:vAlign w:val="center"/>
          </w:tcPr>
          <w:p>
            <w:pPr>
              <w:widowControl w:val="0"/>
              <w:adjustRightInd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二</w:t>
            </w:r>
          </w:p>
        </w:tc>
        <w:tc>
          <w:tcPr>
            <w:tcW w:w="1857" w:type="dxa"/>
            <w:tcBorders>
              <w:tl2br w:val="nil"/>
              <w:tr2bl w:val="nil"/>
            </w:tcBorders>
            <w:shd w:val="clear" w:color="auto" w:fill="D7D7D7" w:themeFill="background1" w:themeFillShade="D8"/>
            <w:vAlign w:val="center"/>
          </w:tcPr>
          <w:p>
            <w:pPr>
              <w:widowControl w:val="0"/>
              <w:adjustRightInd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三</w:t>
            </w:r>
          </w:p>
        </w:tc>
        <w:tc>
          <w:tcPr>
            <w:tcW w:w="1864" w:type="dxa"/>
            <w:tcBorders>
              <w:tl2br w:val="nil"/>
              <w:tr2bl w:val="nil"/>
            </w:tcBorders>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简单分析</w:t>
            </w:r>
            <w:r>
              <w:rPr>
                <w:rFonts w:hint="default" w:ascii="Times New Roman" w:hAnsi="Times New Roman" w:eastAsia="宋体" w:cs="Times New Roman"/>
                <w:color w:val="auto"/>
                <w:kern w:val="2"/>
                <w:sz w:val="21"/>
                <w:szCs w:val="21"/>
                <w:highlight w:val="none"/>
                <w:vertAlign w:val="superscript"/>
                <w:lang w:val="en-US" w:eastAsia="zh-CN" w:bidi="ar"/>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86" w:type="dxa"/>
            <w:gridSpan w:val="5"/>
            <w:tcBorders>
              <w:tl2br w:val="nil"/>
              <w:tr2bl w:val="nil"/>
            </w:tcBorders>
            <w:vAlign w:val="center"/>
          </w:tcPr>
          <w:p>
            <w:pPr>
              <w:widowControl w:val="0"/>
              <w:adjustRightInd w:val="0"/>
              <w:spacing w:line="240" w:lineRule="auto"/>
              <w:ind w:left="0" w:leftChars="0" w:firstLine="0" w:firstLineChars="0"/>
              <w:jc w:val="both"/>
              <w:rPr>
                <w:rFonts w:hint="default" w:ascii="Times New Roman" w:hAnsi="Times New Roman" w:eastAsia="宋体" w:cs="Times New Roman"/>
                <w:color w:val="auto"/>
                <w:kern w:val="2"/>
                <w:sz w:val="18"/>
                <w:szCs w:val="21"/>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
              </w:rPr>
              <w:t>a 是相对于详细评价工作内容而言，在描述危险物质、环境影响途径、环境危害后果、风险防范措施等方面给出定性的说明。</w:t>
            </w:r>
          </w:p>
        </w:tc>
      </w:tr>
    </w:tbl>
    <w:p>
      <w:pPr>
        <w:spacing w:line="240" w:lineRule="auto"/>
        <w:ind w:firstLine="480" w:firstLineChars="200"/>
        <w:rPr>
          <w:rFonts w:hint="default" w:ascii="Times New Roman" w:hAnsi="Times New Roman" w:eastAsia="宋体" w:cs="Times New Roman"/>
          <w:color w:val="auto"/>
          <w:sz w:val="24"/>
          <w:highlight w:val="none"/>
          <w:lang w:val="en-US" w:eastAsia="zh-CN"/>
        </w:rPr>
      </w:pPr>
    </w:p>
    <w:p>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（2）评价范围</w:t>
      </w:r>
    </w:p>
    <w:p>
      <w:pPr>
        <w:pStyle w:val="5"/>
        <w:rPr>
          <w:rFonts w:hint="default" w:ascii="Times New Roman" w:hAnsi="Times New Roman" w:cs="Times New Roman"/>
          <w:color w:val="auto"/>
          <w:highlight w:val="none"/>
        </w:rPr>
      </w:pPr>
      <w:r>
        <w:rPr>
          <w:rFonts w:hint="default" w:ascii="Times New Roman" w:hAnsi="Times New Roman" w:eastAsia="宋体" w:cs="Times New Roman"/>
          <w:color w:val="auto"/>
          <w:sz w:val="24"/>
          <w:highlight w:val="none"/>
          <w:lang w:val="en-US" w:eastAsia="zh-CN"/>
        </w:rPr>
        <w:t>根据《建设项目环境风险评价技术导则》（HJ169-2018），三级评价大气评价范围以项目边界外</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km的范围；地表水评价范围为滞洪区上游500m至滞洪区闸口。评价范围内的环境风险保护目标见表3.4-1，环境保护目标分布见图3.4-1。</w:t>
      </w:r>
    </w:p>
    <w:p>
      <w:pPr>
        <w:pStyle w:val="2"/>
        <w:numPr>
          <w:ilvl w:val="1"/>
          <w:numId w:val="10"/>
        </w:numPr>
        <w:tabs>
          <w:tab w:val="left" w:pos="420"/>
          <w:tab w:val="clear" w:pos="0"/>
        </w:tabs>
        <w:adjustRightInd w:val="0"/>
        <w:snapToGrid w:val="0"/>
        <w:spacing w:before="240" w:after="240"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风险识别</w:t>
      </w:r>
    </w:p>
    <w:p>
      <w:pPr>
        <w:pStyle w:val="4"/>
        <w:numPr>
          <w:ilvl w:val="2"/>
          <w:numId w:val="13"/>
        </w:numP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风险物质识别</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根据《建设项目环境风险评价技术导则》“附录B 重点关注的危险物质及临界量”，</w:t>
      </w:r>
      <w:r>
        <w:rPr>
          <w:rFonts w:hint="default" w:ascii="Times New Roman" w:hAnsi="Times New Roman" w:cs="Times New Roman"/>
          <w:color w:val="auto"/>
          <w:highlight w:val="none"/>
          <w:lang w:val="en-US" w:eastAsia="zh-CN"/>
        </w:rPr>
        <w:t>本项目危险</w:t>
      </w:r>
      <w:r>
        <w:rPr>
          <w:rFonts w:hint="default" w:ascii="Times New Roman" w:hAnsi="Times New Roman" w:cs="Times New Roman"/>
          <w:color w:val="auto"/>
          <w:highlight w:val="none"/>
        </w:rPr>
        <w:t>物质为</w:t>
      </w:r>
      <w:r>
        <w:rPr>
          <w:rFonts w:hint="default" w:ascii="Times New Roman" w:hAnsi="Times New Roman" w:cs="Times New Roman"/>
          <w:color w:val="auto"/>
          <w:highlight w:val="none"/>
          <w:lang w:val="en-US" w:eastAsia="zh-CN"/>
        </w:rPr>
        <w:t>DMF、DMF废液、机油；全厂危险物质为PU树脂、DMF、DMF废液、机油</w:t>
      </w:r>
      <w:r>
        <w:rPr>
          <w:rFonts w:hint="default" w:ascii="Times New Roman" w:hAnsi="Times New Roman" w:cs="Times New Roman"/>
          <w:color w:val="auto"/>
          <w:highlight w:val="none"/>
        </w:rPr>
        <w:t>，物质性质见表2.1-</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p>
    <w:p>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生产过程中潜在危险性识别与分析</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（1）识别内容</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生产系统危险性识别包括生产装置、储运装置、公用工程和辅助生产设施，以及环境保护设施等。</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（2）危险单元划分及潜在风险源</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根据项目工艺流程和平面布置，结合项目物质危险性识别结果，本项目危险单元划分结果见表4.2-1及图4.2-1。</w:t>
      </w:r>
    </w:p>
    <w:p>
      <w:pPr>
        <w:pStyle w:val="15"/>
        <w:numPr>
          <w:ilvl w:val="7"/>
          <w:numId w:val="0"/>
        </w:numPr>
        <w:ind w:left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表4.2-1 危险单元划分结果及潜在风险源一览表</w:t>
      </w:r>
    </w:p>
    <w:tbl>
      <w:tblPr>
        <w:tblStyle w:val="11"/>
        <w:tblW w:w="9287"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570"/>
        <w:gridCol w:w="3700"/>
        <w:gridCol w:w="340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Times New Roman"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序号</w:t>
            </w:r>
          </w:p>
        </w:tc>
        <w:tc>
          <w:tcPr>
            <w:tcW w:w="1570"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Times New Roman"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危险单元</w:t>
            </w:r>
          </w:p>
        </w:tc>
        <w:tc>
          <w:tcPr>
            <w:tcW w:w="3700"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Times New Roman"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主要风险识别</w:t>
            </w:r>
          </w:p>
        </w:tc>
        <w:tc>
          <w:tcPr>
            <w:tcW w:w="3406"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Times New Roman"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主要风险物质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w:t>
            </w:r>
          </w:p>
        </w:tc>
        <w:tc>
          <w:tcPr>
            <w:tcW w:w="1570"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DMF回收设备</w:t>
            </w:r>
          </w:p>
        </w:tc>
        <w:tc>
          <w:tcPr>
            <w:tcW w:w="3700"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设备管道破损导致DMF废液泄漏</w:t>
            </w:r>
          </w:p>
        </w:tc>
        <w:tc>
          <w:tcPr>
            <w:tcW w:w="3406"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DMF废液</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2</w:t>
            </w:r>
          </w:p>
        </w:tc>
        <w:tc>
          <w:tcPr>
            <w:tcW w:w="1570"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生产车间</w:t>
            </w:r>
          </w:p>
        </w:tc>
        <w:tc>
          <w:tcPr>
            <w:tcW w:w="3700"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设备故障、料桶翻倒导致物料泄漏、温度及压力升高造成爆炸</w:t>
            </w:r>
          </w:p>
        </w:tc>
        <w:tc>
          <w:tcPr>
            <w:tcW w:w="3406"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DMF、PU树脂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dxa"/>
            <w:vMerge w:val="restart"/>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3</w:t>
            </w:r>
          </w:p>
        </w:tc>
        <w:tc>
          <w:tcPr>
            <w:tcW w:w="1570" w:type="dxa"/>
            <w:vMerge w:val="restart"/>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储罐区</w:t>
            </w:r>
          </w:p>
        </w:tc>
        <w:tc>
          <w:tcPr>
            <w:tcW w:w="3700"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DMF储罐、DMF废水罐泄漏</w:t>
            </w:r>
          </w:p>
        </w:tc>
        <w:tc>
          <w:tcPr>
            <w:tcW w:w="3406"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DMF</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dxa"/>
            <w:vMerge w:val="continue"/>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highlight w:val="none"/>
              </w:rPr>
            </w:pPr>
          </w:p>
        </w:tc>
        <w:tc>
          <w:tcPr>
            <w:tcW w:w="1570" w:type="dxa"/>
            <w:vMerge w:val="continue"/>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highlight w:val="none"/>
              </w:rPr>
            </w:pPr>
          </w:p>
        </w:tc>
        <w:tc>
          <w:tcPr>
            <w:tcW w:w="3700"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遇明火或高热引发</w:t>
            </w:r>
            <w:r>
              <w:rPr>
                <w:rFonts w:hint="default" w:ascii="Times New Roman" w:hAnsi="Times New Roman" w:eastAsia="宋体" w:cs="Times New Roman"/>
                <w:color w:val="auto"/>
                <w:kern w:val="0"/>
                <w:sz w:val="21"/>
                <w:szCs w:val="21"/>
                <w:highlight w:val="none"/>
                <w:lang w:val="en-US" w:eastAsia="zh-CN" w:bidi="ar"/>
              </w:rPr>
              <w:t>次生火灾、爆炸事故</w:t>
            </w:r>
          </w:p>
        </w:tc>
        <w:tc>
          <w:tcPr>
            <w:tcW w:w="3406"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MDF泄漏燃烧排放CO</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4</w:t>
            </w:r>
          </w:p>
        </w:tc>
        <w:tc>
          <w:tcPr>
            <w:tcW w:w="1570"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危废暂存间</w:t>
            </w:r>
          </w:p>
        </w:tc>
        <w:tc>
          <w:tcPr>
            <w:tcW w:w="3700"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遇明火或高热引发次生火灾、爆炸事故</w:t>
            </w:r>
          </w:p>
        </w:tc>
        <w:tc>
          <w:tcPr>
            <w:tcW w:w="3406"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废机油、精馏废液等燃烧排放CO</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4</w:t>
            </w:r>
          </w:p>
        </w:tc>
        <w:tc>
          <w:tcPr>
            <w:tcW w:w="1570"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原料仓库、</w:t>
            </w:r>
          </w:p>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配料间</w:t>
            </w:r>
          </w:p>
        </w:tc>
        <w:tc>
          <w:tcPr>
            <w:tcW w:w="3700"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遇明火或高热引发次生火灾、爆炸事故</w:t>
            </w:r>
          </w:p>
        </w:tc>
        <w:tc>
          <w:tcPr>
            <w:tcW w:w="3406"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DMF、PU、机油等燃烧排放CO</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5</w:t>
            </w:r>
          </w:p>
        </w:tc>
        <w:tc>
          <w:tcPr>
            <w:tcW w:w="1570"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废气处理设施</w:t>
            </w:r>
          </w:p>
        </w:tc>
        <w:tc>
          <w:tcPr>
            <w:tcW w:w="3700"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有组织废气未处理直接外排</w:t>
            </w:r>
          </w:p>
        </w:tc>
        <w:tc>
          <w:tcPr>
            <w:tcW w:w="3406"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
              </w:rPr>
              <w:t>DMF、非甲烷总烃等</w:t>
            </w:r>
          </w:p>
        </w:tc>
      </w:tr>
    </w:tbl>
    <w:p>
      <w:pPr>
        <w:pStyle w:val="16"/>
        <w:rPr>
          <w:rFonts w:hint="default" w:ascii="Times New Roman" w:hAnsi="Times New Roman" w:cs="Times New Roman"/>
          <w:color w:val="auto"/>
          <w:highlight w:val="none"/>
          <w:lang w:val="en-US" w:eastAsia="zh-CN"/>
        </w:rPr>
      </w:pP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（3）重点风险源</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由上述分析可知，本项目重点风险源为DMF储罐等泄漏风险及DMF等易燃物质遇明火引发的次生火灾、爆炸事故等。</w:t>
      </w:r>
    </w:p>
    <w:p>
      <w:pPr>
        <w:pStyle w:val="4"/>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环境风险类型及危害分析</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本项目涉及的环境风险类型包括危险物质泄漏，以及易燃物质遇明火、爆炸等引发的伴生/次生污染排放。项目环境风险类型、转移的可能途径见表4.3-1。</w:t>
      </w:r>
    </w:p>
    <w:p>
      <w:pPr>
        <w:pStyle w:val="15"/>
        <w:numPr>
          <w:ilvl w:val="7"/>
          <w:numId w:val="0"/>
        </w:numPr>
        <w:ind w:left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表4.3-1 项目环境风险类型、转移的可能途径一览表</w:t>
      </w:r>
    </w:p>
    <w:tbl>
      <w:tblPr>
        <w:tblStyle w:val="11"/>
        <w:tblW w:w="923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430"/>
        <w:gridCol w:w="1350"/>
        <w:gridCol w:w="1508"/>
        <w:gridCol w:w="1657"/>
        <w:gridCol w:w="1384"/>
        <w:gridCol w:w="147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序号</w:t>
            </w:r>
          </w:p>
        </w:tc>
        <w:tc>
          <w:tcPr>
            <w:tcW w:w="143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风险单元</w:t>
            </w:r>
          </w:p>
        </w:tc>
        <w:tc>
          <w:tcPr>
            <w:tcW w:w="135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风险源</w:t>
            </w:r>
          </w:p>
        </w:tc>
        <w:tc>
          <w:tcPr>
            <w:tcW w:w="150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eastAsia="zh-CN" w:bidi="ar-SA"/>
              </w:rPr>
            </w:pPr>
            <w:r>
              <w:rPr>
                <w:rFonts w:hint="default" w:ascii="Times New Roman" w:hAnsi="Times New Roman" w:eastAsia="宋体" w:cs="Times New Roman"/>
                <w:color w:val="auto"/>
                <w:sz w:val="21"/>
                <w:szCs w:val="21"/>
                <w:highlight w:val="none"/>
                <w:lang w:val="en-US" w:eastAsia="zh-CN" w:bidi="ar-SA"/>
              </w:rPr>
              <w:t>风险</w:t>
            </w:r>
            <w:r>
              <w:rPr>
                <w:rFonts w:hint="default" w:ascii="Times New Roman" w:hAnsi="Times New Roman" w:eastAsia="宋体" w:cs="Times New Roman"/>
                <w:color w:val="auto"/>
                <w:sz w:val="21"/>
                <w:szCs w:val="21"/>
                <w:highlight w:val="none"/>
                <w:lang w:val="zh-CN" w:eastAsia="zh-CN" w:bidi="ar-SA"/>
              </w:rPr>
              <w:t>类型</w:t>
            </w:r>
          </w:p>
        </w:tc>
        <w:tc>
          <w:tcPr>
            <w:tcW w:w="165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风险物质</w:t>
            </w:r>
          </w:p>
        </w:tc>
        <w:tc>
          <w:tcPr>
            <w:tcW w:w="138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zh-CN" w:eastAsia="zh-CN" w:bidi="ar-SA"/>
              </w:rPr>
            </w:pPr>
            <w:r>
              <w:rPr>
                <w:rFonts w:hint="default" w:ascii="Times New Roman" w:hAnsi="Times New Roman" w:eastAsia="宋体" w:cs="Times New Roman"/>
                <w:color w:val="auto"/>
                <w:sz w:val="21"/>
                <w:szCs w:val="21"/>
                <w:highlight w:val="none"/>
                <w:lang w:val="en-US" w:eastAsia="zh-CN" w:bidi="ar-SA"/>
              </w:rPr>
              <w:t>环境影响途径</w:t>
            </w:r>
          </w:p>
        </w:tc>
        <w:tc>
          <w:tcPr>
            <w:tcW w:w="147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可能受影响的环境敏感目标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1</w:t>
            </w:r>
          </w:p>
        </w:tc>
        <w:tc>
          <w:tcPr>
            <w:tcW w:w="1430" w:type="dxa"/>
            <w:vMerge w:val="restart"/>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生产车间、配料间、仓库</w:t>
            </w:r>
          </w:p>
        </w:tc>
        <w:tc>
          <w:tcPr>
            <w:tcW w:w="1350" w:type="dxa"/>
            <w:vMerge w:val="restart"/>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PU树脂、DMF</w:t>
            </w:r>
          </w:p>
        </w:tc>
        <w:tc>
          <w:tcPr>
            <w:tcW w:w="150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危险物质泄漏</w:t>
            </w:r>
          </w:p>
        </w:tc>
        <w:tc>
          <w:tcPr>
            <w:tcW w:w="165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DMF等</w:t>
            </w:r>
          </w:p>
        </w:tc>
        <w:tc>
          <w:tcPr>
            <w:tcW w:w="138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挥发进入大气；泄漏进入水环境、土壤环境</w:t>
            </w:r>
          </w:p>
        </w:tc>
        <w:tc>
          <w:tcPr>
            <w:tcW w:w="1477"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周围居民区、企业、地表水、</w:t>
            </w:r>
            <w:r>
              <w:rPr>
                <w:rFonts w:hint="default" w:ascii="Times New Roman" w:hAnsi="Times New Roman" w:cs="Times New Roman"/>
                <w:color w:val="auto"/>
                <w:sz w:val="21"/>
                <w:szCs w:val="21"/>
                <w:highlight w:val="none"/>
                <w:lang w:val="en-US" w:eastAsia="zh-CN" w:bidi="ar-SA"/>
              </w:rPr>
              <w:t>地下水、</w:t>
            </w:r>
            <w:r>
              <w:rPr>
                <w:rFonts w:hint="default" w:ascii="Times New Roman" w:hAnsi="Times New Roman" w:eastAsia="宋体" w:cs="Times New Roman"/>
                <w:color w:val="auto"/>
                <w:sz w:val="21"/>
                <w:szCs w:val="21"/>
                <w:highlight w:val="none"/>
                <w:lang w:val="en-US" w:eastAsia="zh-CN" w:bidi="ar-SA"/>
              </w:rPr>
              <w:t>土壤及大气环境</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143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13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lang w:val="en-US" w:eastAsia="zh-CN" w:bidi="ar"/>
              </w:rPr>
            </w:pPr>
          </w:p>
        </w:tc>
        <w:tc>
          <w:tcPr>
            <w:tcW w:w="150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SA"/>
              </w:rPr>
              <w:t>次生火灾、爆炸引发的伴生污染物排放</w:t>
            </w:r>
          </w:p>
        </w:tc>
        <w:tc>
          <w:tcPr>
            <w:tcW w:w="165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CO</w:t>
            </w:r>
          </w:p>
        </w:tc>
        <w:tc>
          <w:tcPr>
            <w:tcW w:w="138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排放</w:t>
            </w:r>
          </w:p>
        </w:tc>
        <w:tc>
          <w:tcPr>
            <w:tcW w:w="1477"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lang w:val="en-US" w:eastAsia="zh-CN" w:bidi="ar"/>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2</w:t>
            </w:r>
          </w:p>
        </w:tc>
        <w:tc>
          <w:tcPr>
            <w:tcW w:w="1430"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
              </w:rPr>
              <w:t>生产装置</w:t>
            </w:r>
          </w:p>
        </w:tc>
        <w:tc>
          <w:tcPr>
            <w:tcW w:w="1350" w:type="dxa"/>
            <w:tcBorders>
              <w:tl2br w:val="nil"/>
              <w:tr2bl w:val="nil"/>
            </w:tcBorders>
            <w:vAlign w:val="center"/>
          </w:tcPr>
          <w:p>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
              </w:rPr>
              <w:t>设备管道</w:t>
            </w:r>
          </w:p>
        </w:tc>
        <w:tc>
          <w:tcPr>
            <w:tcW w:w="150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危险物质泄漏</w:t>
            </w:r>
          </w:p>
        </w:tc>
        <w:tc>
          <w:tcPr>
            <w:tcW w:w="165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
              </w:rPr>
              <w:t>DMF废液</w:t>
            </w:r>
          </w:p>
        </w:tc>
        <w:tc>
          <w:tcPr>
            <w:tcW w:w="138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泄漏进入水环境、土壤环境</w:t>
            </w:r>
          </w:p>
        </w:tc>
        <w:tc>
          <w:tcPr>
            <w:tcW w:w="147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地表水、</w:t>
            </w:r>
            <w:r>
              <w:rPr>
                <w:rFonts w:hint="default" w:ascii="Times New Roman" w:hAnsi="Times New Roman" w:cs="Times New Roman"/>
                <w:color w:val="auto"/>
                <w:sz w:val="21"/>
                <w:szCs w:val="21"/>
                <w:highlight w:val="none"/>
                <w:lang w:val="en-US" w:eastAsia="zh-CN" w:bidi="ar-SA"/>
              </w:rPr>
              <w:t>地下水、</w:t>
            </w:r>
            <w:r>
              <w:rPr>
                <w:rFonts w:hint="default" w:ascii="Times New Roman" w:hAnsi="Times New Roman" w:eastAsia="宋体" w:cs="Times New Roman"/>
                <w:color w:val="auto"/>
                <w:sz w:val="21"/>
                <w:szCs w:val="21"/>
                <w:highlight w:val="none"/>
                <w:lang w:val="en-US" w:eastAsia="zh-CN" w:bidi="ar-SA"/>
              </w:rPr>
              <w:t>土壤环境</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3</w:t>
            </w:r>
          </w:p>
        </w:tc>
        <w:tc>
          <w:tcPr>
            <w:tcW w:w="1430"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储罐区</w:t>
            </w:r>
          </w:p>
        </w:tc>
        <w:tc>
          <w:tcPr>
            <w:tcW w:w="135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DMF废液、DMF</w:t>
            </w:r>
          </w:p>
        </w:tc>
        <w:tc>
          <w:tcPr>
            <w:tcW w:w="150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危险物质泄漏</w:t>
            </w:r>
          </w:p>
        </w:tc>
        <w:tc>
          <w:tcPr>
            <w:tcW w:w="165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
              </w:rPr>
              <w:t>DMF、DMF废液</w:t>
            </w:r>
          </w:p>
        </w:tc>
        <w:tc>
          <w:tcPr>
            <w:tcW w:w="138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挥发进入大气；泄漏进入水环境、土壤环境</w:t>
            </w:r>
          </w:p>
        </w:tc>
        <w:tc>
          <w:tcPr>
            <w:tcW w:w="1477"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周围居民区、企业、地表水、</w:t>
            </w:r>
            <w:r>
              <w:rPr>
                <w:rFonts w:hint="default" w:ascii="Times New Roman" w:hAnsi="Times New Roman" w:cs="Times New Roman"/>
                <w:color w:val="auto"/>
                <w:sz w:val="21"/>
                <w:szCs w:val="21"/>
                <w:highlight w:val="none"/>
                <w:lang w:val="en-US" w:eastAsia="zh-CN" w:bidi="ar-SA"/>
              </w:rPr>
              <w:t>地下水、</w:t>
            </w:r>
            <w:r>
              <w:rPr>
                <w:rFonts w:hint="default" w:ascii="Times New Roman" w:hAnsi="Times New Roman" w:eastAsia="宋体" w:cs="Times New Roman"/>
                <w:color w:val="auto"/>
                <w:sz w:val="21"/>
                <w:szCs w:val="21"/>
                <w:highlight w:val="none"/>
                <w:lang w:val="en-US" w:eastAsia="zh-CN" w:bidi="ar-SA"/>
              </w:rPr>
              <w:t>土壤及大气环境</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43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highlight w:val="none"/>
              </w:rPr>
            </w:pPr>
          </w:p>
        </w:tc>
        <w:tc>
          <w:tcPr>
            <w:tcW w:w="135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DMF</w:t>
            </w:r>
          </w:p>
        </w:tc>
        <w:tc>
          <w:tcPr>
            <w:tcW w:w="150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次生火灾、爆炸引发的伴生污染物排放</w:t>
            </w:r>
          </w:p>
        </w:tc>
        <w:tc>
          <w:tcPr>
            <w:tcW w:w="165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CO</w:t>
            </w:r>
          </w:p>
        </w:tc>
        <w:tc>
          <w:tcPr>
            <w:tcW w:w="138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477"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w:t>
            </w:r>
          </w:p>
        </w:tc>
        <w:tc>
          <w:tcPr>
            <w:tcW w:w="143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危废暂存间</w:t>
            </w:r>
          </w:p>
        </w:tc>
        <w:tc>
          <w:tcPr>
            <w:tcW w:w="135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危险废物</w:t>
            </w:r>
          </w:p>
        </w:tc>
        <w:tc>
          <w:tcPr>
            <w:tcW w:w="150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次生火灾、爆炸引发的伴生污染物排放</w:t>
            </w:r>
          </w:p>
        </w:tc>
        <w:tc>
          <w:tcPr>
            <w:tcW w:w="165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CO</w:t>
            </w:r>
          </w:p>
        </w:tc>
        <w:tc>
          <w:tcPr>
            <w:tcW w:w="138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排放进入大气环境</w:t>
            </w:r>
          </w:p>
        </w:tc>
        <w:tc>
          <w:tcPr>
            <w:tcW w:w="147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周围居民区、企业及大气环境</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w:t>
            </w:r>
          </w:p>
        </w:tc>
        <w:tc>
          <w:tcPr>
            <w:tcW w:w="143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废气处理设施</w:t>
            </w:r>
          </w:p>
        </w:tc>
        <w:tc>
          <w:tcPr>
            <w:tcW w:w="135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废气输送管线、处理设施</w:t>
            </w:r>
          </w:p>
        </w:tc>
        <w:tc>
          <w:tcPr>
            <w:tcW w:w="150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危险物质泄漏</w:t>
            </w:r>
          </w:p>
        </w:tc>
        <w:tc>
          <w:tcPr>
            <w:tcW w:w="165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DMF、非甲烷总烃</w:t>
            </w:r>
            <w:r>
              <w:rPr>
                <w:rFonts w:hint="default" w:ascii="Times New Roman" w:hAnsi="Times New Roman" w:eastAsia="宋体" w:cs="Times New Roman"/>
                <w:color w:val="auto"/>
                <w:sz w:val="21"/>
                <w:szCs w:val="21"/>
                <w:highlight w:val="none"/>
                <w:lang w:val="en-US" w:eastAsia="zh-CN" w:bidi="ar-SA"/>
              </w:rPr>
              <w:t>等</w:t>
            </w:r>
          </w:p>
        </w:tc>
        <w:tc>
          <w:tcPr>
            <w:tcW w:w="138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排放进入大气环境</w:t>
            </w:r>
          </w:p>
        </w:tc>
        <w:tc>
          <w:tcPr>
            <w:tcW w:w="147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周围居民区、企业及大气环境</w:t>
            </w:r>
          </w:p>
        </w:tc>
      </w:tr>
    </w:tbl>
    <w:p>
      <w:pPr>
        <w:numPr>
          <w:ilvl w:val="0"/>
          <w:numId w:val="0"/>
        </w:numPr>
        <w:tabs>
          <w:tab w:val="left" w:pos="420"/>
        </w:tabs>
        <w:bidi w:val="0"/>
        <w:ind w:leftChars="0"/>
        <w:jc w:val="center"/>
        <w:rPr>
          <w:rFonts w:hint="default" w:ascii="Times New Roman" w:hAnsi="Times New Roman" w:cs="Times New Roman"/>
          <w:color w:val="auto"/>
          <w:highlight w:val="none"/>
          <w:lang w:val="en-US" w:eastAsia="zh-CN"/>
        </w:rPr>
      </w:pPr>
    </w:p>
    <w:p>
      <w:pPr>
        <w:pStyle w:val="17"/>
        <w:numPr>
          <w:ilvl w:val="8"/>
          <w:numId w:val="0"/>
        </w:numPr>
        <w:bidi w:val="0"/>
        <w:ind w:left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图4.3-1 项目危险单元分布图</w:t>
      </w:r>
    </w:p>
    <w:p>
      <w:pPr>
        <w:pStyle w:val="2"/>
        <w:numPr>
          <w:ilvl w:val="1"/>
          <w:numId w:val="10"/>
        </w:numPr>
        <w:tabs>
          <w:tab w:val="left" w:pos="420"/>
          <w:tab w:val="clear" w:pos="0"/>
        </w:tabs>
        <w:adjustRightInd w:val="0"/>
        <w:snapToGrid w:val="0"/>
        <w:spacing w:before="240" w:after="240"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风险源项分析</w:t>
      </w:r>
    </w:p>
    <w:p>
      <w:pPr>
        <w:pStyle w:val="4"/>
        <w:bidi w:val="0"/>
        <w:rPr>
          <w:color w:val="auto"/>
          <w:highlight w:val="none"/>
        </w:rPr>
      </w:pPr>
      <w:r>
        <w:rPr>
          <w:rFonts w:hint="eastAsia"/>
          <w:color w:val="auto"/>
          <w:highlight w:val="none"/>
        </w:rPr>
        <w:t>风险概率和最大</w:t>
      </w:r>
      <w:r>
        <w:rPr>
          <w:rFonts w:hint="eastAsia"/>
          <w:color w:val="auto"/>
          <w:highlight w:val="none"/>
          <w:lang w:val="en-US" w:eastAsia="zh-CN"/>
        </w:rPr>
        <w:t>可信</w:t>
      </w:r>
      <w:r>
        <w:rPr>
          <w:rFonts w:hint="eastAsia"/>
          <w:color w:val="auto"/>
          <w:highlight w:val="none"/>
        </w:rPr>
        <w:t>事故</w:t>
      </w:r>
    </w:p>
    <w:p>
      <w:pPr>
        <w:adjustRightInd w:val="0"/>
        <w:snapToGrid w:val="0"/>
        <w:spacing w:line="360" w:lineRule="auto"/>
        <w:ind w:firstLine="480" w:firstLineChars="200"/>
        <w:rPr>
          <w:rFonts w:hint="eastAsia" w:cs="宋体"/>
          <w:color w:val="auto"/>
          <w:sz w:val="24"/>
          <w:highlight w:val="none"/>
          <w:lang w:bidi="ar"/>
        </w:rPr>
      </w:pPr>
      <w:r>
        <w:rPr>
          <w:rFonts w:hint="eastAsia" w:cs="宋体"/>
          <w:color w:val="auto"/>
          <w:sz w:val="24"/>
          <w:highlight w:val="none"/>
          <w:lang w:bidi="ar"/>
        </w:rPr>
        <w:t>根据《建设项目环境风险评价技术导则》（</w:t>
      </w:r>
      <w:r>
        <w:rPr>
          <w:color w:val="auto"/>
          <w:sz w:val="24"/>
          <w:highlight w:val="none"/>
          <w:lang w:bidi="ar"/>
        </w:rPr>
        <w:t>HJ 169-2018</w:t>
      </w:r>
      <w:r>
        <w:rPr>
          <w:rFonts w:hint="eastAsia" w:cs="宋体"/>
          <w:color w:val="auto"/>
          <w:sz w:val="24"/>
          <w:highlight w:val="none"/>
          <w:lang w:bidi="ar"/>
        </w:rPr>
        <w:t>）附录</w:t>
      </w:r>
      <w:r>
        <w:rPr>
          <w:color w:val="auto"/>
          <w:sz w:val="24"/>
          <w:highlight w:val="none"/>
          <w:lang w:bidi="ar"/>
        </w:rPr>
        <w:t xml:space="preserve"> E</w:t>
      </w:r>
      <w:r>
        <w:rPr>
          <w:rFonts w:hint="eastAsia" w:cs="宋体"/>
          <w:color w:val="auto"/>
          <w:sz w:val="24"/>
          <w:highlight w:val="none"/>
          <w:lang w:bidi="ar"/>
        </w:rPr>
        <w:t>，常见物料泄漏事故类型及频率统计分析见表</w:t>
      </w:r>
      <w:r>
        <w:rPr>
          <w:rFonts w:hint="eastAsia"/>
          <w:color w:val="auto"/>
          <w:sz w:val="24"/>
          <w:highlight w:val="none"/>
          <w:lang w:val="en-US" w:eastAsia="zh-CN" w:bidi="ar"/>
        </w:rPr>
        <w:t>5</w:t>
      </w:r>
      <w:r>
        <w:rPr>
          <w:rFonts w:hint="eastAsia"/>
          <w:color w:val="auto"/>
          <w:sz w:val="24"/>
          <w:highlight w:val="none"/>
          <w:lang w:bidi="ar"/>
        </w:rPr>
        <w:t>.3-1</w:t>
      </w:r>
      <w:r>
        <w:rPr>
          <w:rFonts w:hint="eastAsia" w:cs="宋体"/>
          <w:color w:val="auto"/>
          <w:sz w:val="24"/>
          <w:highlight w:val="none"/>
          <w:lang w:bidi="ar"/>
        </w:rPr>
        <w:t>。</w:t>
      </w:r>
    </w:p>
    <w:p>
      <w:pPr>
        <w:pStyle w:val="2"/>
        <w:rPr>
          <w:color w:val="auto"/>
          <w:highlight w:val="none"/>
        </w:rPr>
      </w:pPr>
    </w:p>
    <w:p>
      <w:pPr>
        <w:pStyle w:val="15"/>
        <w:numPr>
          <w:ilvl w:val="7"/>
          <w:numId w:val="0"/>
        </w:numPr>
        <w:bidi w:val="0"/>
        <w:ind w:leftChars="0"/>
        <w:jc w:val="center"/>
        <w:rPr>
          <w:color w:val="auto"/>
          <w:highlight w:val="none"/>
        </w:rPr>
      </w:pPr>
      <w:r>
        <w:rPr>
          <w:rFonts w:hint="eastAsia"/>
          <w:color w:val="auto"/>
          <w:highlight w:val="none"/>
        </w:rPr>
        <w:t>表</w:t>
      </w:r>
      <w:r>
        <w:rPr>
          <w:rFonts w:hint="eastAsia"/>
          <w:color w:val="auto"/>
          <w:highlight w:val="none"/>
          <w:lang w:val="en-US" w:eastAsia="zh-CN"/>
        </w:rPr>
        <w:t>5</w:t>
      </w:r>
      <w:r>
        <w:rPr>
          <w:rFonts w:hint="eastAsia"/>
          <w:color w:val="auto"/>
          <w:highlight w:val="none"/>
        </w:rPr>
        <w:t>.3-1  物料泄漏事故类型及频率统计</w:t>
      </w:r>
    </w:p>
    <w:tbl>
      <w:tblPr>
        <w:tblStyle w:val="11"/>
        <w:tblW w:w="9071"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616"/>
        <w:gridCol w:w="4684"/>
        <w:gridCol w:w="1771"/>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16"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部件类型</w:t>
            </w:r>
          </w:p>
        </w:tc>
        <w:tc>
          <w:tcPr>
            <w:tcW w:w="4684"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泄漏模式</w:t>
            </w:r>
          </w:p>
        </w:tc>
        <w:tc>
          <w:tcPr>
            <w:tcW w:w="1771"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泄漏频率</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340" w:hRule="atLeast"/>
          <w:jc w:val="center"/>
        </w:trPr>
        <w:tc>
          <w:tcPr>
            <w:tcW w:w="2616"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反应器</w:t>
            </w:r>
            <w:r>
              <w:rPr>
                <w:rFonts w:eastAsia="Times New Roman"/>
                <w:color w:val="auto"/>
                <w:kern w:val="0"/>
                <w:szCs w:val="21"/>
                <w:highlight w:val="none"/>
                <w:lang w:bidi="ar"/>
              </w:rPr>
              <w:t>/</w:t>
            </w:r>
            <w:r>
              <w:rPr>
                <w:rFonts w:hint="eastAsia" w:cs="宋体"/>
                <w:color w:val="auto"/>
                <w:kern w:val="0"/>
                <w:szCs w:val="21"/>
                <w:highlight w:val="none"/>
                <w:lang w:bidi="ar"/>
              </w:rPr>
              <w:t>工艺储罐</w:t>
            </w:r>
            <w:r>
              <w:rPr>
                <w:rFonts w:eastAsia="Times New Roman"/>
                <w:color w:val="auto"/>
                <w:kern w:val="0"/>
                <w:szCs w:val="21"/>
                <w:highlight w:val="none"/>
                <w:lang w:bidi="ar"/>
              </w:rPr>
              <w:t>/</w:t>
            </w:r>
            <w:r>
              <w:rPr>
                <w:rFonts w:hint="eastAsia" w:cs="宋体"/>
                <w:color w:val="auto"/>
                <w:kern w:val="0"/>
                <w:szCs w:val="21"/>
                <w:highlight w:val="none"/>
                <w:lang w:bidi="ar"/>
              </w:rPr>
              <w:t>气体储罐</w:t>
            </w:r>
            <w:r>
              <w:rPr>
                <w:rFonts w:eastAsia="Times New Roman"/>
                <w:color w:val="auto"/>
                <w:kern w:val="0"/>
                <w:szCs w:val="21"/>
                <w:highlight w:val="none"/>
                <w:lang w:bidi="ar"/>
              </w:rPr>
              <w:t>/</w:t>
            </w:r>
            <w:r>
              <w:rPr>
                <w:rFonts w:hint="eastAsia" w:cs="宋体"/>
                <w:color w:val="auto"/>
                <w:kern w:val="0"/>
                <w:szCs w:val="21"/>
                <w:highlight w:val="none"/>
                <w:lang w:bidi="ar"/>
              </w:rPr>
              <w:t>塔器</w:t>
            </w:r>
          </w:p>
        </w:tc>
        <w:tc>
          <w:tcPr>
            <w:tcW w:w="4684"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泄漏孔径为</w:t>
            </w:r>
            <w:r>
              <w:rPr>
                <w:rFonts w:eastAsia="Times New Roman"/>
                <w:color w:val="auto"/>
                <w:kern w:val="0"/>
                <w:szCs w:val="21"/>
                <w:highlight w:val="none"/>
                <w:lang w:bidi="ar"/>
              </w:rPr>
              <w:t>10mm</w:t>
            </w:r>
            <w:r>
              <w:rPr>
                <w:rFonts w:hint="eastAsia" w:cs="宋体"/>
                <w:color w:val="auto"/>
                <w:kern w:val="0"/>
                <w:szCs w:val="21"/>
                <w:highlight w:val="none"/>
                <w:lang w:bidi="ar"/>
              </w:rPr>
              <w:t>孔径</w:t>
            </w:r>
          </w:p>
          <w:p>
            <w:pPr>
              <w:autoSpaceDE w:val="0"/>
              <w:autoSpaceDN w:val="0"/>
              <w:adjustRightInd w:val="0"/>
              <w:snapToGrid w:val="0"/>
              <w:jc w:val="center"/>
              <w:rPr>
                <w:color w:val="auto"/>
                <w:kern w:val="0"/>
                <w:szCs w:val="21"/>
                <w:highlight w:val="none"/>
              </w:rPr>
            </w:pPr>
            <w:r>
              <w:rPr>
                <w:rFonts w:eastAsia="Times New Roman"/>
                <w:color w:val="auto"/>
                <w:kern w:val="0"/>
                <w:szCs w:val="21"/>
                <w:highlight w:val="none"/>
                <w:lang w:bidi="ar"/>
              </w:rPr>
              <w:t>10min</w:t>
            </w:r>
            <w:r>
              <w:rPr>
                <w:rFonts w:hint="eastAsia" w:cs="宋体"/>
                <w:color w:val="auto"/>
                <w:kern w:val="0"/>
                <w:szCs w:val="21"/>
                <w:highlight w:val="none"/>
                <w:lang w:bidi="ar"/>
              </w:rPr>
              <w:t>内储罐泄漏完储罐全破裂</w:t>
            </w:r>
          </w:p>
        </w:tc>
        <w:tc>
          <w:tcPr>
            <w:tcW w:w="1771" w:type="dxa"/>
            <w:tcBorders>
              <w:tl2br w:val="nil"/>
              <w:tr2bl w:val="nil"/>
            </w:tcBorders>
            <w:shd w:val="clear" w:color="auto" w:fill="auto"/>
            <w:vAlign w:val="center"/>
          </w:tcPr>
          <w:p>
            <w:pPr>
              <w:autoSpaceDE w:val="0"/>
              <w:autoSpaceDN w:val="0"/>
              <w:adjustRightInd w:val="0"/>
              <w:snapToGrid w:val="0"/>
              <w:jc w:val="center"/>
              <w:rPr>
                <w:rFonts w:eastAsia="Times New Roman"/>
                <w:color w:val="auto"/>
                <w:kern w:val="0"/>
                <w:szCs w:val="21"/>
                <w:highlight w:val="none"/>
              </w:rPr>
            </w:pPr>
            <w:r>
              <w:rPr>
                <w:rFonts w:eastAsia="Times New Roman"/>
                <w:color w:val="auto"/>
                <w:kern w:val="0"/>
                <w:szCs w:val="21"/>
                <w:highlight w:val="none"/>
                <w:lang w:bidi="ar"/>
              </w:rPr>
              <w:t>1.00×10</w:t>
            </w:r>
            <w:r>
              <w:rPr>
                <w:rFonts w:eastAsia="Times New Roman"/>
                <w:color w:val="auto"/>
                <w:kern w:val="0"/>
                <w:position w:val="7"/>
                <w:sz w:val="13"/>
                <w:szCs w:val="13"/>
                <w:highlight w:val="none"/>
                <w:lang w:bidi="ar"/>
              </w:rPr>
              <w:t>-4</w:t>
            </w:r>
            <w:r>
              <w:rPr>
                <w:rFonts w:eastAsia="Times New Roman"/>
                <w:color w:val="auto"/>
                <w:kern w:val="0"/>
                <w:szCs w:val="21"/>
                <w:highlight w:val="none"/>
                <w:lang w:bidi="ar"/>
              </w:rPr>
              <w:t>/a</w:t>
            </w:r>
          </w:p>
          <w:p>
            <w:pPr>
              <w:autoSpaceDE w:val="0"/>
              <w:autoSpaceDN w:val="0"/>
              <w:adjustRightInd w:val="0"/>
              <w:snapToGrid w:val="0"/>
              <w:jc w:val="center"/>
              <w:rPr>
                <w:rFonts w:eastAsia="Times New Roman"/>
                <w:color w:val="auto"/>
                <w:kern w:val="0"/>
                <w:szCs w:val="21"/>
                <w:highlight w:val="none"/>
              </w:rPr>
            </w:pPr>
            <w:r>
              <w:rPr>
                <w:rFonts w:eastAsia="Times New Roman"/>
                <w:color w:val="auto"/>
                <w:kern w:val="0"/>
                <w:szCs w:val="21"/>
                <w:highlight w:val="none"/>
                <w:lang w:bidi="ar"/>
              </w:rPr>
              <w:t>5.00×10</w:t>
            </w:r>
            <w:r>
              <w:rPr>
                <w:rFonts w:eastAsia="Times New Roman"/>
                <w:color w:val="auto"/>
                <w:kern w:val="0"/>
                <w:position w:val="7"/>
                <w:sz w:val="13"/>
                <w:szCs w:val="13"/>
                <w:highlight w:val="none"/>
                <w:lang w:bidi="ar"/>
              </w:rPr>
              <w:t>-6</w:t>
            </w:r>
            <w:r>
              <w:rPr>
                <w:rFonts w:eastAsia="Times New Roman"/>
                <w:color w:val="auto"/>
                <w:kern w:val="0"/>
                <w:szCs w:val="21"/>
                <w:highlight w:val="none"/>
                <w:lang w:bidi="ar"/>
              </w:rPr>
              <w:t>/a</w:t>
            </w:r>
          </w:p>
          <w:p>
            <w:pPr>
              <w:autoSpaceDE w:val="0"/>
              <w:autoSpaceDN w:val="0"/>
              <w:adjustRightInd w:val="0"/>
              <w:snapToGrid w:val="0"/>
              <w:jc w:val="center"/>
              <w:rPr>
                <w:rFonts w:eastAsia="Times New Roman"/>
                <w:color w:val="auto"/>
                <w:kern w:val="0"/>
                <w:szCs w:val="21"/>
                <w:highlight w:val="none"/>
              </w:rPr>
            </w:pPr>
            <w:r>
              <w:rPr>
                <w:rFonts w:eastAsia="Times New Roman"/>
                <w:color w:val="auto"/>
                <w:kern w:val="0"/>
                <w:szCs w:val="21"/>
                <w:highlight w:val="none"/>
                <w:lang w:bidi="ar"/>
              </w:rPr>
              <w:t>5.00×10</w:t>
            </w:r>
            <w:r>
              <w:rPr>
                <w:rFonts w:eastAsia="Times New Roman"/>
                <w:color w:val="auto"/>
                <w:kern w:val="0"/>
                <w:position w:val="7"/>
                <w:sz w:val="13"/>
                <w:szCs w:val="13"/>
                <w:highlight w:val="none"/>
                <w:lang w:bidi="ar"/>
              </w:rPr>
              <w:t>-6</w:t>
            </w:r>
            <w:r>
              <w:rPr>
                <w:rFonts w:eastAsia="Times New Roman"/>
                <w:color w:val="auto"/>
                <w:kern w:val="0"/>
                <w:szCs w:val="21"/>
                <w:highlight w:val="none"/>
                <w:lang w:bidi="ar"/>
              </w:rPr>
              <w:t>/a</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16"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常压单包容储罐</w:t>
            </w:r>
          </w:p>
        </w:tc>
        <w:tc>
          <w:tcPr>
            <w:tcW w:w="4684"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泄漏孔径为</w:t>
            </w:r>
            <w:r>
              <w:rPr>
                <w:rFonts w:eastAsia="Times New Roman"/>
                <w:color w:val="auto"/>
                <w:kern w:val="0"/>
                <w:szCs w:val="21"/>
                <w:highlight w:val="none"/>
                <w:lang w:bidi="ar"/>
              </w:rPr>
              <w:t>10mm</w:t>
            </w:r>
            <w:r>
              <w:rPr>
                <w:rFonts w:hint="eastAsia" w:cs="宋体"/>
                <w:color w:val="auto"/>
                <w:kern w:val="0"/>
                <w:szCs w:val="21"/>
                <w:highlight w:val="none"/>
                <w:lang w:bidi="ar"/>
              </w:rPr>
              <w:t>孔径</w:t>
            </w:r>
          </w:p>
          <w:p>
            <w:pPr>
              <w:autoSpaceDE w:val="0"/>
              <w:autoSpaceDN w:val="0"/>
              <w:adjustRightInd w:val="0"/>
              <w:snapToGrid w:val="0"/>
              <w:jc w:val="center"/>
              <w:rPr>
                <w:color w:val="auto"/>
                <w:kern w:val="0"/>
                <w:szCs w:val="21"/>
                <w:highlight w:val="none"/>
              </w:rPr>
            </w:pPr>
            <w:r>
              <w:rPr>
                <w:rFonts w:eastAsia="Times New Roman"/>
                <w:color w:val="auto"/>
                <w:kern w:val="0"/>
                <w:szCs w:val="21"/>
                <w:highlight w:val="none"/>
                <w:lang w:bidi="ar"/>
              </w:rPr>
              <w:t>10min</w:t>
            </w:r>
            <w:r>
              <w:rPr>
                <w:rFonts w:hint="eastAsia" w:cs="宋体"/>
                <w:color w:val="auto"/>
                <w:kern w:val="0"/>
                <w:szCs w:val="21"/>
                <w:highlight w:val="none"/>
                <w:lang w:bidi="ar"/>
              </w:rPr>
              <w:t>内储罐泄漏完</w:t>
            </w:r>
          </w:p>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储罐全破裂</w:t>
            </w:r>
          </w:p>
        </w:tc>
        <w:tc>
          <w:tcPr>
            <w:tcW w:w="1771" w:type="dxa"/>
            <w:tcBorders>
              <w:tl2br w:val="nil"/>
              <w:tr2bl w:val="nil"/>
            </w:tcBorders>
            <w:shd w:val="clear" w:color="auto" w:fill="auto"/>
            <w:vAlign w:val="center"/>
          </w:tcPr>
          <w:p>
            <w:pPr>
              <w:autoSpaceDE w:val="0"/>
              <w:autoSpaceDN w:val="0"/>
              <w:adjustRightInd w:val="0"/>
              <w:snapToGrid w:val="0"/>
              <w:jc w:val="center"/>
              <w:rPr>
                <w:rFonts w:eastAsia="Times New Roman"/>
                <w:color w:val="auto"/>
                <w:kern w:val="0"/>
                <w:szCs w:val="21"/>
                <w:highlight w:val="none"/>
              </w:rPr>
            </w:pPr>
            <w:r>
              <w:rPr>
                <w:rFonts w:eastAsia="Times New Roman"/>
                <w:color w:val="auto"/>
                <w:kern w:val="0"/>
                <w:szCs w:val="21"/>
                <w:highlight w:val="none"/>
                <w:lang w:bidi="ar"/>
              </w:rPr>
              <w:t>1.00×10</w:t>
            </w:r>
            <w:r>
              <w:rPr>
                <w:rFonts w:eastAsia="Times New Roman"/>
                <w:color w:val="auto"/>
                <w:kern w:val="0"/>
                <w:position w:val="7"/>
                <w:sz w:val="13"/>
                <w:szCs w:val="13"/>
                <w:highlight w:val="none"/>
                <w:lang w:bidi="ar"/>
              </w:rPr>
              <w:t>-4</w:t>
            </w:r>
            <w:r>
              <w:rPr>
                <w:rFonts w:eastAsia="Times New Roman"/>
                <w:color w:val="auto"/>
                <w:kern w:val="0"/>
                <w:szCs w:val="21"/>
                <w:highlight w:val="none"/>
                <w:lang w:bidi="ar"/>
              </w:rPr>
              <w:t>/a</w:t>
            </w:r>
          </w:p>
          <w:p>
            <w:pPr>
              <w:autoSpaceDE w:val="0"/>
              <w:autoSpaceDN w:val="0"/>
              <w:adjustRightInd w:val="0"/>
              <w:snapToGrid w:val="0"/>
              <w:jc w:val="center"/>
              <w:rPr>
                <w:rFonts w:eastAsia="Times New Roman"/>
                <w:color w:val="auto"/>
                <w:kern w:val="0"/>
                <w:szCs w:val="21"/>
                <w:highlight w:val="none"/>
              </w:rPr>
            </w:pPr>
            <w:r>
              <w:rPr>
                <w:rFonts w:eastAsia="Times New Roman"/>
                <w:color w:val="auto"/>
                <w:kern w:val="0"/>
                <w:szCs w:val="21"/>
                <w:highlight w:val="none"/>
                <w:lang w:bidi="ar"/>
              </w:rPr>
              <w:t>5.00×10</w:t>
            </w:r>
            <w:r>
              <w:rPr>
                <w:rFonts w:eastAsia="Times New Roman"/>
                <w:color w:val="auto"/>
                <w:kern w:val="0"/>
                <w:position w:val="7"/>
                <w:sz w:val="13"/>
                <w:szCs w:val="13"/>
                <w:highlight w:val="none"/>
                <w:lang w:bidi="ar"/>
              </w:rPr>
              <w:t>-6</w:t>
            </w:r>
            <w:r>
              <w:rPr>
                <w:rFonts w:eastAsia="Times New Roman"/>
                <w:color w:val="auto"/>
                <w:kern w:val="0"/>
                <w:szCs w:val="21"/>
                <w:highlight w:val="none"/>
                <w:lang w:bidi="ar"/>
              </w:rPr>
              <w:t>/a</w:t>
            </w:r>
          </w:p>
          <w:p>
            <w:pPr>
              <w:autoSpaceDE w:val="0"/>
              <w:autoSpaceDN w:val="0"/>
              <w:adjustRightInd w:val="0"/>
              <w:snapToGrid w:val="0"/>
              <w:jc w:val="center"/>
              <w:rPr>
                <w:rFonts w:eastAsia="Times New Roman"/>
                <w:color w:val="auto"/>
                <w:kern w:val="0"/>
                <w:szCs w:val="21"/>
                <w:highlight w:val="none"/>
              </w:rPr>
            </w:pPr>
            <w:r>
              <w:rPr>
                <w:rFonts w:eastAsia="Times New Roman"/>
                <w:color w:val="auto"/>
                <w:kern w:val="0"/>
                <w:szCs w:val="21"/>
                <w:highlight w:val="none"/>
                <w:lang w:bidi="ar"/>
              </w:rPr>
              <w:t>5.00×10</w:t>
            </w:r>
            <w:r>
              <w:rPr>
                <w:rFonts w:eastAsia="Times New Roman"/>
                <w:color w:val="auto"/>
                <w:kern w:val="0"/>
                <w:position w:val="7"/>
                <w:sz w:val="13"/>
                <w:szCs w:val="13"/>
                <w:highlight w:val="none"/>
                <w:lang w:bidi="ar"/>
              </w:rPr>
              <w:t>-6</w:t>
            </w:r>
            <w:r>
              <w:rPr>
                <w:rFonts w:eastAsia="Times New Roman"/>
                <w:color w:val="auto"/>
                <w:kern w:val="0"/>
                <w:szCs w:val="21"/>
                <w:highlight w:val="none"/>
                <w:lang w:bidi="ar"/>
              </w:rPr>
              <w:t>/a</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16"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常压双包容储罐</w:t>
            </w:r>
          </w:p>
        </w:tc>
        <w:tc>
          <w:tcPr>
            <w:tcW w:w="4684"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泄漏孔径为</w:t>
            </w:r>
            <w:r>
              <w:rPr>
                <w:rFonts w:eastAsia="Times New Roman"/>
                <w:color w:val="auto"/>
                <w:kern w:val="0"/>
                <w:szCs w:val="21"/>
                <w:highlight w:val="none"/>
                <w:lang w:bidi="ar"/>
              </w:rPr>
              <w:t>10mm</w:t>
            </w:r>
            <w:r>
              <w:rPr>
                <w:rFonts w:hint="eastAsia" w:cs="宋体"/>
                <w:color w:val="auto"/>
                <w:kern w:val="0"/>
                <w:szCs w:val="21"/>
                <w:highlight w:val="none"/>
                <w:lang w:bidi="ar"/>
              </w:rPr>
              <w:t>孔径</w:t>
            </w:r>
          </w:p>
          <w:p>
            <w:pPr>
              <w:autoSpaceDE w:val="0"/>
              <w:autoSpaceDN w:val="0"/>
              <w:adjustRightInd w:val="0"/>
              <w:snapToGrid w:val="0"/>
              <w:jc w:val="center"/>
              <w:rPr>
                <w:color w:val="auto"/>
                <w:kern w:val="0"/>
                <w:szCs w:val="21"/>
                <w:highlight w:val="none"/>
              </w:rPr>
            </w:pPr>
            <w:r>
              <w:rPr>
                <w:rFonts w:eastAsia="Times New Roman"/>
                <w:color w:val="auto"/>
                <w:kern w:val="0"/>
                <w:szCs w:val="21"/>
                <w:highlight w:val="none"/>
                <w:lang w:bidi="ar"/>
              </w:rPr>
              <w:t>10min</w:t>
            </w:r>
            <w:r>
              <w:rPr>
                <w:rFonts w:hint="eastAsia" w:cs="宋体"/>
                <w:color w:val="auto"/>
                <w:kern w:val="0"/>
                <w:szCs w:val="21"/>
                <w:highlight w:val="none"/>
                <w:lang w:bidi="ar"/>
              </w:rPr>
              <w:t>内储罐泄漏完</w:t>
            </w:r>
          </w:p>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储罐全破裂</w:t>
            </w:r>
          </w:p>
        </w:tc>
        <w:tc>
          <w:tcPr>
            <w:tcW w:w="1771" w:type="dxa"/>
            <w:tcBorders>
              <w:tl2br w:val="nil"/>
              <w:tr2bl w:val="nil"/>
            </w:tcBorders>
            <w:shd w:val="clear" w:color="auto" w:fill="auto"/>
            <w:vAlign w:val="center"/>
          </w:tcPr>
          <w:p>
            <w:pPr>
              <w:autoSpaceDE w:val="0"/>
              <w:autoSpaceDN w:val="0"/>
              <w:adjustRightInd w:val="0"/>
              <w:snapToGrid w:val="0"/>
              <w:jc w:val="center"/>
              <w:rPr>
                <w:rFonts w:eastAsia="Times New Roman"/>
                <w:color w:val="auto"/>
                <w:kern w:val="0"/>
                <w:szCs w:val="21"/>
                <w:highlight w:val="none"/>
              </w:rPr>
            </w:pPr>
            <w:r>
              <w:rPr>
                <w:rFonts w:eastAsia="Times New Roman"/>
                <w:color w:val="auto"/>
                <w:kern w:val="0"/>
                <w:szCs w:val="21"/>
                <w:highlight w:val="none"/>
                <w:lang w:bidi="ar"/>
              </w:rPr>
              <w:t>1.00×10</w:t>
            </w:r>
            <w:r>
              <w:rPr>
                <w:rFonts w:eastAsia="Times New Roman"/>
                <w:color w:val="auto"/>
                <w:kern w:val="0"/>
                <w:position w:val="7"/>
                <w:sz w:val="13"/>
                <w:szCs w:val="13"/>
                <w:highlight w:val="none"/>
                <w:lang w:bidi="ar"/>
              </w:rPr>
              <w:t>-4</w:t>
            </w:r>
            <w:r>
              <w:rPr>
                <w:rFonts w:eastAsia="Times New Roman"/>
                <w:color w:val="auto"/>
                <w:kern w:val="0"/>
                <w:szCs w:val="21"/>
                <w:highlight w:val="none"/>
                <w:lang w:bidi="ar"/>
              </w:rPr>
              <w:t>/a</w:t>
            </w:r>
          </w:p>
          <w:p>
            <w:pPr>
              <w:autoSpaceDE w:val="0"/>
              <w:autoSpaceDN w:val="0"/>
              <w:adjustRightInd w:val="0"/>
              <w:snapToGrid w:val="0"/>
              <w:jc w:val="center"/>
              <w:rPr>
                <w:rFonts w:eastAsia="Times New Roman"/>
                <w:color w:val="auto"/>
                <w:kern w:val="0"/>
                <w:szCs w:val="21"/>
                <w:highlight w:val="none"/>
              </w:rPr>
            </w:pPr>
            <w:r>
              <w:rPr>
                <w:rFonts w:eastAsia="Times New Roman"/>
                <w:color w:val="auto"/>
                <w:kern w:val="0"/>
                <w:szCs w:val="21"/>
                <w:highlight w:val="none"/>
                <w:lang w:bidi="ar"/>
              </w:rPr>
              <w:t>1.25×10</w:t>
            </w:r>
            <w:r>
              <w:rPr>
                <w:rFonts w:eastAsia="Times New Roman"/>
                <w:color w:val="auto"/>
                <w:kern w:val="0"/>
                <w:position w:val="7"/>
                <w:sz w:val="13"/>
                <w:szCs w:val="13"/>
                <w:highlight w:val="none"/>
                <w:lang w:bidi="ar"/>
              </w:rPr>
              <w:t>-8</w:t>
            </w:r>
            <w:r>
              <w:rPr>
                <w:rFonts w:eastAsia="Times New Roman"/>
                <w:color w:val="auto"/>
                <w:kern w:val="0"/>
                <w:szCs w:val="21"/>
                <w:highlight w:val="none"/>
                <w:lang w:bidi="ar"/>
              </w:rPr>
              <w:t>/a</w:t>
            </w:r>
          </w:p>
          <w:p>
            <w:pPr>
              <w:autoSpaceDE w:val="0"/>
              <w:autoSpaceDN w:val="0"/>
              <w:adjustRightInd w:val="0"/>
              <w:snapToGrid w:val="0"/>
              <w:jc w:val="center"/>
              <w:rPr>
                <w:rFonts w:eastAsia="Times New Roman"/>
                <w:color w:val="auto"/>
                <w:kern w:val="0"/>
                <w:szCs w:val="21"/>
                <w:highlight w:val="none"/>
              </w:rPr>
            </w:pPr>
            <w:r>
              <w:rPr>
                <w:rFonts w:eastAsia="Times New Roman"/>
                <w:color w:val="auto"/>
                <w:kern w:val="0"/>
                <w:szCs w:val="21"/>
                <w:highlight w:val="none"/>
                <w:lang w:bidi="ar"/>
              </w:rPr>
              <w:t>1.25×10</w:t>
            </w:r>
            <w:r>
              <w:rPr>
                <w:rFonts w:eastAsia="Times New Roman"/>
                <w:color w:val="auto"/>
                <w:kern w:val="0"/>
                <w:position w:val="7"/>
                <w:sz w:val="13"/>
                <w:szCs w:val="13"/>
                <w:highlight w:val="none"/>
                <w:lang w:bidi="ar"/>
              </w:rPr>
              <w:t>-8</w:t>
            </w:r>
            <w:r>
              <w:rPr>
                <w:rFonts w:eastAsia="Times New Roman"/>
                <w:color w:val="auto"/>
                <w:kern w:val="0"/>
                <w:szCs w:val="21"/>
                <w:highlight w:val="none"/>
                <w:lang w:bidi="ar"/>
              </w:rPr>
              <w:t>/a</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340" w:hRule="atLeast"/>
          <w:jc w:val="center"/>
        </w:trPr>
        <w:tc>
          <w:tcPr>
            <w:tcW w:w="2616"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常压全包容储罐</w:t>
            </w:r>
          </w:p>
        </w:tc>
        <w:tc>
          <w:tcPr>
            <w:tcW w:w="4684"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储罐全破裂</w:t>
            </w:r>
          </w:p>
        </w:tc>
        <w:tc>
          <w:tcPr>
            <w:tcW w:w="1771" w:type="dxa"/>
            <w:tcBorders>
              <w:tl2br w:val="nil"/>
              <w:tr2bl w:val="nil"/>
            </w:tcBorders>
            <w:shd w:val="clear" w:color="auto" w:fill="auto"/>
            <w:vAlign w:val="center"/>
          </w:tcPr>
          <w:p>
            <w:pPr>
              <w:autoSpaceDE w:val="0"/>
              <w:autoSpaceDN w:val="0"/>
              <w:adjustRightInd w:val="0"/>
              <w:snapToGrid w:val="0"/>
              <w:jc w:val="center"/>
              <w:rPr>
                <w:rFonts w:eastAsia="Times New Roman"/>
                <w:color w:val="auto"/>
                <w:kern w:val="0"/>
                <w:szCs w:val="21"/>
                <w:highlight w:val="none"/>
              </w:rPr>
            </w:pPr>
            <w:r>
              <w:rPr>
                <w:rFonts w:eastAsia="Times New Roman"/>
                <w:color w:val="auto"/>
                <w:kern w:val="0"/>
                <w:szCs w:val="21"/>
                <w:highlight w:val="none"/>
                <w:lang w:bidi="ar"/>
              </w:rPr>
              <w:t>1.00×10</w:t>
            </w:r>
            <w:r>
              <w:rPr>
                <w:rFonts w:eastAsia="Times New Roman"/>
                <w:color w:val="auto"/>
                <w:kern w:val="0"/>
                <w:position w:val="7"/>
                <w:sz w:val="13"/>
                <w:szCs w:val="13"/>
                <w:highlight w:val="none"/>
                <w:lang w:bidi="ar"/>
              </w:rPr>
              <w:t>-8</w:t>
            </w:r>
            <w:r>
              <w:rPr>
                <w:rFonts w:eastAsia="Times New Roman"/>
                <w:color w:val="auto"/>
                <w:kern w:val="0"/>
                <w:szCs w:val="21"/>
                <w:highlight w:val="none"/>
                <w:lang w:bidi="ar"/>
              </w:rPr>
              <w:t>/a</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16"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内径</w:t>
            </w:r>
            <w:r>
              <w:rPr>
                <w:rFonts w:eastAsia="Times New Roman"/>
                <w:color w:val="auto"/>
                <w:kern w:val="0"/>
                <w:szCs w:val="21"/>
                <w:highlight w:val="none"/>
                <w:lang w:bidi="ar"/>
              </w:rPr>
              <w:t>≤75mm</w:t>
            </w:r>
            <w:r>
              <w:rPr>
                <w:rFonts w:hint="eastAsia" w:cs="宋体"/>
                <w:color w:val="auto"/>
                <w:kern w:val="0"/>
                <w:szCs w:val="21"/>
                <w:highlight w:val="none"/>
                <w:lang w:bidi="ar"/>
              </w:rPr>
              <w:t>的管道</w:t>
            </w:r>
          </w:p>
        </w:tc>
        <w:tc>
          <w:tcPr>
            <w:tcW w:w="4684"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泄漏孔径为</w:t>
            </w:r>
            <w:r>
              <w:rPr>
                <w:rFonts w:eastAsia="Times New Roman"/>
                <w:color w:val="auto"/>
                <w:kern w:val="0"/>
                <w:szCs w:val="21"/>
                <w:highlight w:val="none"/>
                <w:lang w:bidi="ar"/>
              </w:rPr>
              <w:t>10%</w:t>
            </w:r>
            <w:r>
              <w:rPr>
                <w:rFonts w:hint="eastAsia" w:cs="宋体"/>
                <w:color w:val="auto"/>
                <w:kern w:val="0"/>
                <w:szCs w:val="21"/>
                <w:highlight w:val="none"/>
                <w:lang w:bidi="ar"/>
              </w:rPr>
              <w:t>孔径全管径泄漏</w:t>
            </w:r>
          </w:p>
        </w:tc>
        <w:tc>
          <w:tcPr>
            <w:tcW w:w="1771"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eastAsia="Times New Roman"/>
                <w:color w:val="auto"/>
                <w:kern w:val="0"/>
                <w:szCs w:val="21"/>
                <w:highlight w:val="none"/>
                <w:lang w:bidi="ar"/>
              </w:rPr>
              <w:t>5.00×10</w:t>
            </w:r>
            <w:r>
              <w:rPr>
                <w:rFonts w:eastAsia="Times New Roman"/>
                <w:color w:val="auto"/>
                <w:kern w:val="0"/>
                <w:position w:val="7"/>
                <w:sz w:val="13"/>
                <w:szCs w:val="13"/>
                <w:highlight w:val="none"/>
                <w:lang w:bidi="ar"/>
              </w:rPr>
              <w:t>-6</w:t>
            </w:r>
            <w:r>
              <w:rPr>
                <w:rFonts w:eastAsia="Times New Roman"/>
                <w:color w:val="auto"/>
                <w:kern w:val="0"/>
                <w:szCs w:val="21"/>
                <w:highlight w:val="none"/>
                <w:lang w:bidi="ar"/>
              </w:rPr>
              <w:t>/</w:t>
            </w:r>
            <w:r>
              <w:rPr>
                <w:rFonts w:hint="eastAsia" w:cs="宋体"/>
                <w:color w:val="auto"/>
                <w:kern w:val="0"/>
                <w:szCs w:val="21"/>
                <w:highlight w:val="none"/>
                <w:lang w:bidi="ar"/>
              </w:rPr>
              <w:t>（</w:t>
            </w:r>
            <w:r>
              <w:rPr>
                <w:rFonts w:eastAsia="Times New Roman"/>
                <w:color w:val="auto"/>
                <w:kern w:val="0"/>
                <w:szCs w:val="21"/>
                <w:highlight w:val="none"/>
                <w:lang w:bidi="ar"/>
              </w:rPr>
              <w:t>m·a</w:t>
            </w:r>
            <w:r>
              <w:rPr>
                <w:rFonts w:hint="eastAsia" w:cs="宋体"/>
                <w:color w:val="auto"/>
                <w:kern w:val="0"/>
                <w:szCs w:val="21"/>
                <w:highlight w:val="none"/>
                <w:lang w:bidi="ar"/>
              </w:rPr>
              <w:t>）</w:t>
            </w:r>
          </w:p>
          <w:p>
            <w:pPr>
              <w:autoSpaceDE w:val="0"/>
              <w:autoSpaceDN w:val="0"/>
              <w:adjustRightInd w:val="0"/>
              <w:snapToGrid w:val="0"/>
              <w:jc w:val="center"/>
              <w:rPr>
                <w:color w:val="auto"/>
                <w:kern w:val="0"/>
                <w:szCs w:val="21"/>
                <w:highlight w:val="none"/>
              </w:rPr>
            </w:pPr>
            <w:r>
              <w:rPr>
                <w:rFonts w:eastAsia="Times New Roman"/>
                <w:color w:val="auto"/>
                <w:kern w:val="0"/>
                <w:szCs w:val="21"/>
                <w:highlight w:val="none"/>
                <w:lang w:bidi="ar"/>
              </w:rPr>
              <w:t>1.00×10</w:t>
            </w:r>
            <w:r>
              <w:rPr>
                <w:rFonts w:eastAsia="Times New Roman"/>
                <w:color w:val="auto"/>
                <w:kern w:val="0"/>
                <w:position w:val="7"/>
                <w:sz w:val="13"/>
                <w:szCs w:val="13"/>
                <w:highlight w:val="none"/>
                <w:lang w:bidi="ar"/>
              </w:rPr>
              <w:t>-6</w:t>
            </w:r>
            <w:r>
              <w:rPr>
                <w:rFonts w:eastAsia="Times New Roman"/>
                <w:color w:val="auto"/>
                <w:kern w:val="0"/>
                <w:szCs w:val="21"/>
                <w:highlight w:val="none"/>
                <w:lang w:bidi="ar"/>
              </w:rPr>
              <w:t>/</w:t>
            </w:r>
            <w:r>
              <w:rPr>
                <w:rFonts w:hint="eastAsia" w:cs="宋体"/>
                <w:color w:val="auto"/>
                <w:kern w:val="0"/>
                <w:szCs w:val="21"/>
                <w:highlight w:val="none"/>
                <w:lang w:bidi="ar"/>
              </w:rPr>
              <w:t>（</w:t>
            </w:r>
            <w:r>
              <w:rPr>
                <w:rFonts w:eastAsia="Times New Roman"/>
                <w:color w:val="auto"/>
                <w:kern w:val="0"/>
                <w:szCs w:val="21"/>
                <w:highlight w:val="none"/>
                <w:lang w:bidi="ar"/>
              </w:rPr>
              <w:t>m·a</w:t>
            </w:r>
            <w:r>
              <w:rPr>
                <w:rFonts w:hint="eastAsia" w:cs="宋体"/>
                <w:color w:val="auto"/>
                <w:kern w:val="0"/>
                <w:szCs w:val="21"/>
                <w:highlight w:val="none"/>
                <w:lang w:bidi="ar"/>
              </w:rPr>
              <w:t>）</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340" w:hRule="atLeast"/>
          <w:jc w:val="center"/>
        </w:trPr>
        <w:tc>
          <w:tcPr>
            <w:tcW w:w="2616"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eastAsia="Times New Roman"/>
                <w:color w:val="auto"/>
                <w:kern w:val="0"/>
                <w:szCs w:val="21"/>
                <w:highlight w:val="none"/>
                <w:lang w:bidi="ar"/>
              </w:rPr>
              <w:t>75mm&lt;</w:t>
            </w:r>
            <w:r>
              <w:rPr>
                <w:rFonts w:hint="eastAsia" w:cs="宋体"/>
                <w:color w:val="auto"/>
                <w:kern w:val="0"/>
                <w:szCs w:val="21"/>
                <w:highlight w:val="none"/>
                <w:lang w:bidi="ar"/>
              </w:rPr>
              <w:t>内径</w:t>
            </w:r>
            <w:r>
              <w:rPr>
                <w:rFonts w:eastAsia="Times New Roman"/>
                <w:color w:val="auto"/>
                <w:kern w:val="0"/>
                <w:szCs w:val="21"/>
                <w:highlight w:val="none"/>
                <w:lang w:bidi="ar"/>
              </w:rPr>
              <w:t>≤150mm</w:t>
            </w:r>
            <w:r>
              <w:rPr>
                <w:rFonts w:hint="eastAsia" w:cs="宋体"/>
                <w:color w:val="auto"/>
                <w:kern w:val="0"/>
                <w:szCs w:val="21"/>
                <w:highlight w:val="none"/>
                <w:lang w:bidi="ar"/>
              </w:rPr>
              <w:t>的</w:t>
            </w:r>
          </w:p>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管道</w:t>
            </w:r>
          </w:p>
        </w:tc>
        <w:tc>
          <w:tcPr>
            <w:tcW w:w="4684"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泄漏孔径为</w:t>
            </w:r>
            <w:r>
              <w:rPr>
                <w:rFonts w:eastAsia="Times New Roman"/>
                <w:color w:val="auto"/>
                <w:kern w:val="0"/>
                <w:szCs w:val="21"/>
                <w:highlight w:val="none"/>
                <w:lang w:bidi="ar"/>
              </w:rPr>
              <w:t>10%</w:t>
            </w:r>
            <w:r>
              <w:rPr>
                <w:rFonts w:hint="eastAsia" w:cs="宋体"/>
                <w:color w:val="auto"/>
                <w:kern w:val="0"/>
                <w:szCs w:val="21"/>
                <w:highlight w:val="none"/>
                <w:lang w:bidi="ar"/>
              </w:rPr>
              <w:t>孔径全管径泄漏</w:t>
            </w:r>
          </w:p>
        </w:tc>
        <w:tc>
          <w:tcPr>
            <w:tcW w:w="1771"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eastAsia="Times New Roman"/>
                <w:color w:val="auto"/>
                <w:kern w:val="0"/>
                <w:szCs w:val="21"/>
                <w:highlight w:val="none"/>
                <w:lang w:bidi="ar"/>
              </w:rPr>
              <w:t>2.00×10</w:t>
            </w:r>
            <w:r>
              <w:rPr>
                <w:rFonts w:eastAsia="Times New Roman"/>
                <w:color w:val="auto"/>
                <w:kern w:val="0"/>
                <w:position w:val="7"/>
                <w:sz w:val="13"/>
                <w:szCs w:val="13"/>
                <w:highlight w:val="none"/>
                <w:lang w:bidi="ar"/>
              </w:rPr>
              <w:t>-6</w:t>
            </w:r>
            <w:r>
              <w:rPr>
                <w:rFonts w:eastAsia="Times New Roman"/>
                <w:color w:val="auto"/>
                <w:kern w:val="0"/>
                <w:szCs w:val="21"/>
                <w:highlight w:val="none"/>
                <w:lang w:bidi="ar"/>
              </w:rPr>
              <w:t>/</w:t>
            </w:r>
            <w:r>
              <w:rPr>
                <w:rFonts w:hint="eastAsia" w:cs="宋体"/>
                <w:color w:val="auto"/>
                <w:kern w:val="0"/>
                <w:szCs w:val="21"/>
                <w:highlight w:val="none"/>
                <w:lang w:bidi="ar"/>
              </w:rPr>
              <w:t>（</w:t>
            </w:r>
            <w:r>
              <w:rPr>
                <w:rFonts w:eastAsia="Times New Roman"/>
                <w:color w:val="auto"/>
                <w:kern w:val="0"/>
                <w:szCs w:val="21"/>
                <w:highlight w:val="none"/>
                <w:lang w:bidi="ar"/>
              </w:rPr>
              <w:t>m·a</w:t>
            </w:r>
            <w:r>
              <w:rPr>
                <w:rFonts w:hint="eastAsia" w:cs="宋体"/>
                <w:color w:val="auto"/>
                <w:kern w:val="0"/>
                <w:szCs w:val="21"/>
                <w:highlight w:val="none"/>
                <w:lang w:bidi="ar"/>
              </w:rPr>
              <w:t>）</w:t>
            </w:r>
          </w:p>
          <w:p>
            <w:pPr>
              <w:autoSpaceDE w:val="0"/>
              <w:autoSpaceDN w:val="0"/>
              <w:adjustRightInd w:val="0"/>
              <w:snapToGrid w:val="0"/>
              <w:jc w:val="center"/>
              <w:rPr>
                <w:color w:val="auto"/>
                <w:kern w:val="0"/>
                <w:szCs w:val="21"/>
                <w:highlight w:val="none"/>
              </w:rPr>
            </w:pPr>
            <w:r>
              <w:rPr>
                <w:rFonts w:eastAsia="Times New Roman"/>
                <w:color w:val="auto"/>
                <w:kern w:val="0"/>
                <w:szCs w:val="21"/>
                <w:highlight w:val="none"/>
                <w:lang w:bidi="ar"/>
              </w:rPr>
              <w:t>3.00×10</w:t>
            </w:r>
            <w:r>
              <w:rPr>
                <w:rFonts w:eastAsia="Times New Roman"/>
                <w:color w:val="auto"/>
                <w:kern w:val="0"/>
                <w:position w:val="7"/>
                <w:sz w:val="13"/>
                <w:szCs w:val="13"/>
                <w:highlight w:val="none"/>
                <w:lang w:bidi="ar"/>
              </w:rPr>
              <w:t>-7</w:t>
            </w:r>
            <w:r>
              <w:rPr>
                <w:rFonts w:eastAsia="Times New Roman"/>
                <w:color w:val="auto"/>
                <w:kern w:val="0"/>
                <w:szCs w:val="21"/>
                <w:highlight w:val="none"/>
                <w:lang w:bidi="ar"/>
              </w:rPr>
              <w:t>/</w:t>
            </w:r>
            <w:r>
              <w:rPr>
                <w:rFonts w:hint="eastAsia" w:cs="宋体"/>
                <w:color w:val="auto"/>
                <w:kern w:val="0"/>
                <w:szCs w:val="21"/>
                <w:highlight w:val="none"/>
                <w:lang w:bidi="ar"/>
              </w:rPr>
              <w:t>（</w:t>
            </w:r>
            <w:r>
              <w:rPr>
                <w:rFonts w:eastAsia="Times New Roman"/>
                <w:color w:val="auto"/>
                <w:kern w:val="0"/>
                <w:szCs w:val="21"/>
                <w:highlight w:val="none"/>
                <w:lang w:bidi="ar"/>
              </w:rPr>
              <w:t>m·a</w:t>
            </w:r>
            <w:r>
              <w:rPr>
                <w:rFonts w:hint="eastAsia" w:cs="宋体"/>
                <w:color w:val="auto"/>
                <w:kern w:val="0"/>
                <w:szCs w:val="21"/>
                <w:highlight w:val="none"/>
                <w:lang w:bidi="ar"/>
              </w:rPr>
              <w:t>）</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340" w:hRule="atLeast"/>
          <w:jc w:val="center"/>
        </w:trPr>
        <w:tc>
          <w:tcPr>
            <w:tcW w:w="2616"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内径</w:t>
            </w:r>
            <w:r>
              <w:rPr>
                <w:rFonts w:eastAsia="Times New Roman"/>
                <w:color w:val="auto"/>
                <w:kern w:val="0"/>
                <w:szCs w:val="21"/>
                <w:highlight w:val="none"/>
                <w:lang w:bidi="ar"/>
              </w:rPr>
              <w:t>&gt;150mm</w:t>
            </w:r>
            <w:r>
              <w:rPr>
                <w:rFonts w:hint="eastAsia" w:cs="宋体"/>
                <w:color w:val="auto"/>
                <w:kern w:val="0"/>
                <w:szCs w:val="21"/>
                <w:highlight w:val="none"/>
                <w:lang w:bidi="ar"/>
              </w:rPr>
              <w:t>的管道</w:t>
            </w:r>
          </w:p>
        </w:tc>
        <w:tc>
          <w:tcPr>
            <w:tcW w:w="4684"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泄漏孔径为</w:t>
            </w:r>
            <w:r>
              <w:rPr>
                <w:rFonts w:eastAsia="Times New Roman"/>
                <w:color w:val="auto"/>
                <w:kern w:val="0"/>
                <w:szCs w:val="21"/>
                <w:highlight w:val="none"/>
                <w:lang w:bidi="ar"/>
              </w:rPr>
              <w:t>10%</w:t>
            </w:r>
            <w:r>
              <w:rPr>
                <w:rFonts w:hint="eastAsia" w:cs="宋体"/>
                <w:color w:val="auto"/>
                <w:kern w:val="0"/>
                <w:szCs w:val="21"/>
                <w:highlight w:val="none"/>
                <w:lang w:bidi="ar"/>
              </w:rPr>
              <w:t>孔径（最大</w:t>
            </w:r>
            <w:r>
              <w:rPr>
                <w:rFonts w:eastAsia="Times New Roman"/>
                <w:color w:val="auto"/>
                <w:kern w:val="0"/>
                <w:szCs w:val="21"/>
                <w:highlight w:val="none"/>
                <w:lang w:bidi="ar"/>
              </w:rPr>
              <w:t>50mm</w:t>
            </w:r>
            <w:r>
              <w:rPr>
                <w:rFonts w:hint="eastAsia" w:cs="宋体"/>
                <w:color w:val="auto"/>
                <w:kern w:val="0"/>
                <w:szCs w:val="21"/>
                <w:highlight w:val="none"/>
                <w:lang w:bidi="ar"/>
              </w:rPr>
              <w:t>）</w:t>
            </w:r>
          </w:p>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全管径泄漏</w:t>
            </w:r>
          </w:p>
        </w:tc>
        <w:tc>
          <w:tcPr>
            <w:tcW w:w="1771"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eastAsia="Times New Roman"/>
                <w:color w:val="auto"/>
                <w:kern w:val="0"/>
                <w:szCs w:val="21"/>
                <w:highlight w:val="none"/>
                <w:lang w:bidi="ar"/>
              </w:rPr>
              <w:t>2.40×10</w:t>
            </w:r>
            <w:r>
              <w:rPr>
                <w:rFonts w:eastAsia="Times New Roman"/>
                <w:color w:val="auto"/>
                <w:kern w:val="0"/>
                <w:position w:val="7"/>
                <w:sz w:val="13"/>
                <w:szCs w:val="13"/>
                <w:highlight w:val="none"/>
                <w:lang w:bidi="ar"/>
              </w:rPr>
              <w:t>-6</w:t>
            </w:r>
            <w:r>
              <w:rPr>
                <w:rFonts w:eastAsia="Times New Roman"/>
                <w:color w:val="auto"/>
                <w:kern w:val="0"/>
                <w:szCs w:val="21"/>
                <w:highlight w:val="none"/>
                <w:lang w:bidi="ar"/>
              </w:rPr>
              <w:t>/</w:t>
            </w:r>
            <w:r>
              <w:rPr>
                <w:rFonts w:hint="eastAsia" w:cs="宋体"/>
                <w:color w:val="auto"/>
                <w:kern w:val="0"/>
                <w:szCs w:val="21"/>
                <w:highlight w:val="none"/>
                <w:lang w:bidi="ar"/>
              </w:rPr>
              <w:t>（</w:t>
            </w:r>
            <w:r>
              <w:rPr>
                <w:rFonts w:eastAsia="Times New Roman"/>
                <w:color w:val="auto"/>
                <w:kern w:val="0"/>
                <w:szCs w:val="21"/>
                <w:highlight w:val="none"/>
                <w:lang w:bidi="ar"/>
              </w:rPr>
              <w:t>m·a</w:t>
            </w:r>
            <w:r>
              <w:rPr>
                <w:rFonts w:hint="eastAsia" w:cs="宋体"/>
                <w:color w:val="auto"/>
                <w:kern w:val="0"/>
                <w:szCs w:val="21"/>
                <w:highlight w:val="none"/>
                <w:lang w:bidi="ar"/>
              </w:rPr>
              <w:t>）</w:t>
            </w:r>
          </w:p>
          <w:p>
            <w:pPr>
              <w:autoSpaceDE w:val="0"/>
              <w:autoSpaceDN w:val="0"/>
              <w:adjustRightInd w:val="0"/>
              <w:snapToGrid w:val="0"/>
              <w:jc w:val="center"/>
              <w:rPr>
                <w:color w:val="auto"/>
                <w:kern w:val="0"/>
                <w:szCs w:val="21"/>
                <w:highlight w:val="none"/>
              </w:rPr>
            </w:pPr>
            <w:r>
              <w:rPr>
                <w:rFonts w:eastAsia="Times New Roman"/>
                <w:color w:val="auto"/>
                <w:kern w:val="0"/>
                <w:szCs w:val="21"/>
                <w:highlight w:val="none"/>
                <w:lang w:bidi="ar"/>
              </w:rPr>
              <w:t>1.00×10</w:t>
            </w:r>
            <w:r>
              <w:rPr>
                <w:rFonts w:eastAsia="Times New Roman"/>
                <w:color w:val="auto"/>
                <w:kern w:val="0"/>
                <w:position w:val="7"/>
                <w:sz w:val="13"/>
                <w:szCs w:val="13"/>
                <w:highlight w:val="none"/>
                <w:lang w:bidi="ar"/>
              </w:rPr>
              <w:t>-7</w:t>
            </w:r>
            <w:r>
              <w:rPr>
                <w:rFonts w:eastAsia="Times New Roman"/>
                <w:color w:val="auto"/>
                <w:kern w:val="0"/>
                <w:szCs w:val="21"/>
                <w:highlight w:val="none"/>
                <w:lang w:bidi="ar"/>
              </w:rPr>
              <w:t>/</w:t>
            </w:r>
            <w:r>
              <w:rPr>
                <w:rFonts w:hint="eastAsia" w:cs="宋体"/>
                <w:color w:val="auto"/>
                <w:kern w:val="0"/>
                <w:szCs w:val="21"/>
                <w:highlight w:val="none"/>
                <w:lang w:bidi="ar"/>
              </w:rPr>
              <w:t>（</w:t>
            </w:r>
            <w:r>
              <w:rPr>
                <w:rFonts w:eastAsia="Times New Roman"/>
                <w:color w:val="auto"/>
                <w:kern w:val="0"/>
                <w:szCs w:val="21"/>
                <w:highlight w:val="none"/>
                <w:lang w:bidi="ar"/>
              </w:rPr>
              <w:t>m·a</w:t>
            </w:r>
            <w:r>
              <w:rPr>
                <w:rFonts w:hint="eastAsia" w:cs="宋体"/>
                <w:color w:val="auto"/>
                <w:kern w:val="0"/>
                <w:szCs w:val="21"/>
                <w:highlight w:val="none"/>
                <w:lang w:bidi="ar"/>
              </w:rPr>
              <w:t>）</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340" w:hRule="atLeast"/>
          <w:jc w:val="center"/>
        </w:trPr>
        <w:tc>
          <w:tcPr>
            <w:tcW w:w="2616"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泵体和压缩机</w:t>
            </w:r>
          </w:p>
        </w:tc>
        <w:tc>
          <w:tcPr>
            <w:tcW w:w="4684"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泵体和压缩机最大连接管泄漏孔径为</w:t>
            </w:r>
            <w:r>
              <w:rPr>
                <w:rFonts w:eastAsia="Times New Roman"/>
                <w:color w:val="auto"/>
                <w:kern w:val="0"/>
                <w:szCs w:val="21"/>
                <w:highlight w:val="none"/>
                <w:lang w:bidi="ar"/>
              </w:rPr>
              <w:t>10%</w:t>
            </w:r>
            <w:r>
              <w:rPr>
                <w:rFonts w:hint="eastAsia" w:cs="宋体"/>
                <w:color w:val="auto"/>
                <w:kern w:val="0"/>
                <w:szCs w:val="21"/>
                <w:highlight w:val="none"/>
                <w:lang w:bidi="ar"/>
              </w:rPr>
              <w:t>孔径</w:t>
            </w:r>
          </w:p>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（最大</w:t>
            </w:r>
            <w:r>
              <w:rPr>
                <w:rFonts w:eastAsia="Times New Roman"/>
                <w:color w:val="auto"/>
                <w:kern w:val="0"/>
                <w:szCs w:val="21"/>
                <w:highlight w:val="none"/>
                <w:lang w:bidi="ar"/>
              </w:rPr>
              <w:t>50mm</w:t>
            </w:r>
            <w:r>
              <w:rPr>
                <w:rFonts w:hint="eastAsia" w:cs="宋体"/>
                <w:color w:val="auto"/>
                <w:kern w:val="0"/>
                <w:szCs w:val="21"/>
                <w:highlight w:val="none"/>
                <w:lang w:bidi="ar"/>
              </w:rPr>
              <w:t>）泵体和压缩机最大连接管全管径泄漏</w:t>
            </w:r>
          </w:p>
        </w:tc>
        <w:tc>
          <w:tcPr>
            <w:tcW w:w="1771" w:type="dxa"/>
            <w:tcBorders>
              <w:tl2br w:val="nil"/>
              <w:tr2bl w:val="nil"/>
            </w:tcBorders>
            <w:shd w:val="clear" w:color="auto" w:fill="auto"/>
            <w:vAlign w:val="center"/>
          </w:tcPr>
          <w:p>
            <w:pPr>
              <w:autoSpaceDE w:val="0"/>
              <w:autoSpaceDN w:val="0"/>
              <w:adjustRightInd w:val="0"/>
              <w:snapToGrid w:val="0"/>
              <w:jc w:val="center"/>
              <w:rPr>
                <w:rFonts w:eastAsia="Times New Roman"/>
                <w:color w:val="auto"/>
                <w:kern w:val="0"/>
                <w:szCs w:val="21"/>
                <w:highlight w:val="none"/>
              </w:rPr>
            </w:pPr>
            <w:r>
              <w:rPr>
                <w:rFonts w:eastAsia="Times New Roman"/>
                <w:color w:val="auto"/>
                <w:kern w:val="0"/>
                <w:szCs w:val="21"/>
                <w:highlight w:val="none"/>
                <w:lang w:bidi="ar"/>
              </w:rPr>
              <w:t>5.00×10</w:t>
            </w:r>
            <w:r>
              <w:rPr>
                <w:rFonts w:eastAsia="Times New Roman"/>
                <w:color w:val="auto"/>
                <w:kern w:val="0"/>
                <w:position w:val="7"/>
                <w:sz w:val="13"/>
                <w:szCs w:val="13"/>
                <w:highlight w:val="none"/>
                <w:lang w:bidi="ar"/>
              </w:rPr>
              <w:t>-4</w:t>
            </w:r>
            <w:r>
              <w:rPr>
                <w:rFonts w:eastAsia="Times New Roman"/>
                <w:color w:val="auto"/>
                <w:kern w:val="0"/>
                <w:szCs w:val="21"/>
                <w:highlight w:val="none"/>
                <w:lang w:bidi="ar"/>
              </w:rPr>
              <w:t>/a</w:t>
            </w:r>
          </w:p>
          <w:p>
            <w:pPr>
              <w:autoSpaceDE w:val="0"/>
              <w:autoSpaceDN w:val="0"/>
              <w:adjustRightInd w:val="0"/>
              <w:snapToGrid w:val="0"/>
              <w:jc w:val="center"/>
              <w:rPr>
                <w:rFonts w:eastAsia="Times New Roman"/>
                <w:color w:val="auto"/>
                <w:kern w:val="0"/>
                <w:szCs w:val="21"/>
                <w:highlight w:val="none"/>
              </w:rPr>
            </w:pPr>
            <w:r>
              <w:rPr>
                <w:rFonts w:eastAsia="Times New Roman"/>
                <w:color w:val="auto"/>
                <w:kern w:val="0"/>
                <w:szCs w:val="21"/>
                <w:highlight w:val="none"/>
                <w:lang w:bidi="ar"/>
              </w:rPr>
              <w:t>1.00×10</w:t>
            </w:r>
            <w:r>
              <w:rPr>
                <w:rFonts w:eastAsia="Times New Roman"/>
                <w:color w:val="auto"/>
                <w:kern w:val="0"/>
                <w:position w:val="7"/>
                <w:sz w:val="13"/>
                <w:szCs w:val="13"/>
                <w:highlight w:val="none"/>
                <w:lang w:bidi="ar"/>
              </w:rPr>
              <w:t>-4</w:t>
            </w:r>
            <w:r>
              <w:rPr>
                <w:rFonts w:eastAsia="Times New Roman"/>
                <w:color w:val="auto"/>
                <w:kern w:val="0"/>
                <w:szCs w:val="21"/>
                <w:highlight w:val="none"/>
                <w:lang w:bidi="ar"/>
              </w:rPr>
              <w:t>/a</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16"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装卸臂</w:t>
            </w:r>
          </w:p>
        </w:tc>
        <w:tc>
          <w:tcPr>
            <w:tcW w:w="4684"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装卸臂连接管泄漏孔径为</w:t>
            </w:r>
            <w:r>
              <w:rPr>
                <w:rFonts w:eastAsia="Times New Roman"/>
                <w:color w:val="auto"/>
                <w:kern w:val="0"/>
                <w:szCs w:val="21"/>
                <w:highlight w:val="none"/>
                <w:lang w:bidi="ar"/>
              </w:rPr>
              <w:t>10%</w:t>
            </w:r>
            <w:r>
              <w:rPr>
                <w:rFonts w:hint="eastAsia" w:cs="宋体"/>
                <w:color w:val="auto"/>
                <w:kern w:val="0"/>
                <w:szCs w:val="21"/>
                <w:highlight w:val="none"/>
                <w:lang w:bidi="ar"/>
              </w:rPr>
              <w:t>孔径（最大</w:t>
            </w:r>
          </w:p>
          <w:p>
            <w:pPr>
              <w:autoSpaceDE w:val="0"/>
              <w:autoSpaceDN w:val="0"/>
              <w:adjustRightInd w:val="0"/>
              <w:snapToGrid w:val="0"/>
              <w:jc w:val="center"/>
              <w:rPr>
                <w:color w:val="auto"/>
                <w:kern w:val="0"/>
                <w:szCs w:val="21"/>
                <w:highlight w:val="none"/>
              </w:rPr>
            </w:pPr>
            <w:r>
              <w:rPr>
                <w:rFonts w:eastAsia="Times New Roman"/>
                <w:color w:val="auto"/>
                <w:kern w:val="0"/>
                <w:szCs w:val="21"/>
                <w:highlight w:val="none"/>
                <w:lang w:bidi="ar"/>
              </w:rPr>
              <w:t>50mm</w:t>
            </w:r>
            <w:r>
              <w:rPr>
                <w:rFonts w:hint="eastAsia" w:cs="宋体"/>
                <w:color w:val="auto"/>
                <w:kern w:val="0"/>
                <w:szCs w:val="21"/>
                <w:highlight w:val="none"/>
                <w:lang w:bidi="ar"/>
              </w:rPr>
              <w:t>）装卸臂全管径泄漏</w:t>
            </w:r>
          </w:p>
        </w:tc>
        <w:tc>
          <w:tcPr>
            <w:tcW w:w="1771" w:type="dxa"/>
            <w:tcBorders>
              <w:tl2br w:val="nil"/>
              <w:tr2bl w:val="nil"/>
            </w:tcBorders>
            <w:shd w:val="clear" w:color="auto" w:fill="auto"/>
            <w:vAlign w:val="center"/>
          </w:tcPr>
          <w:p>
            <w:pPr>
              <w:autoSpaceDE w:val="0"/>
              <w:autoSpaceDN w:val="0"/>
              <w:adjustRightInd w:val="0"/>
              <w:snapToGrid w:val="0"/>
              <w:jc w:val="center"/>
              <w:rPr>
                <w:rFonts w:eastAsia="Times New Roman"/>
                <w:color w:val="auto"/>
                <w:kern w:val="0"/>
                <w:szCs w:val="21"/>
                <w:highlight w:val="none"/>
              </w:rPr>
            </w:pPr>
            <w:r>
              <w:rPr>
                <w:rFonts w:eastAsia="Times New Roman"/>
                <w:color w:val="auto"/>
                <w:kern w:val="0"/>
                <w:szCs w:val="21"/>
                <w:highlight w:val="none"/>
                <w:lang w:bidi="ar"/>
              </w:rPr>
              <w:t>3.00×10</w:t>
            </w:r>
            <w:r>
              <w:rPr>
                <w:rFonts w:eastAsia="Times New Roman"/>
                <w:color w:val="auto"/>
                <w:kern w:val="0"/>
                <w:position w:val="7"/>
                <w:sz w:val="13"/>
                <w:szCs w:val="13"/>
                <w:highlight w:val="none"/>
                <w:lang w:bidi="ar"/>
              </w:rPr>
              <w:t>-7</w:t>
            </w:r>
            <w:r>
              <w:rPr>
                <w:rFonts w:eastAsia="Times New Roman"/>
                <w:color w:val="auto"/>
                <w:kern w:val="0"/>
                <w:szCs w:val="21"/>
                <w:highlight w:val="none"/>
                <w:lang w:bidi="ar"/>
              </w:rPr>
              <w:t>/h</w:t>
            </w:r>
          </w:p>
          <w:p>
            <w:pPr>
              <w:autoSpaceDE w:val="0"/>
              <w:autoSpaceDN w:val="0"/>
              <w:adjustRightInd w:val="0"/>
              <w:snapToGrid w:val="0"/>
              <w:jc w:val="center"/>
              <w:rPr>
                <w:rFonts w:eastAsia="Times New Roman"/>
                <w:color w:val="auto"/>
                <w:kern w:val="0"/>
                <w:szCs w:val="21"/>
                <w:highlight w:val="none"/>
              </w:rPr>
            </w:pPr>
            <w:r>
              <w:rPr>
                <w:rFonts w:eastAsia="Times New Roman"/>
                <w:color w:val="auto"/>
                <w:kern w:val="0"/>
                <w:szCs w:val="21"/>
                <w:highlight w:val="none"/>
                <w:lang w:bidi="ar"/>
              </w:rPr>
              <w:t>3.00×10</w:t>
            </w:r>
            <w:r>
              <w:rPr>
                <w:rFonts w:eastAsia="Times New Roman"/>
                <w:color w:val="auto"/>
                <w:kern w:val="0"/>
                <w:position w:val="7"/>
                <w:sz w:val="13"/>
                <w:szCs w:val="13"/>
                <w:highlight w:val="none"/>
                <w:lang w:bidi="ar"/>
              </w:rPr>
              <w:t>-8</w:t>
            </w:r>
            <w:r>
              <w:rPr>
                <w:rFonts w:eastAsia="Times New Roman"/>
                <w:color w:val="auto"/>
                <w:kern w:val="0"/>
                <w:szCs w:val="21"/>
                <w:highlight w:val="none"/>
                <w:lang w:bidi="ar"/>
              </w:rPr>
              <w:t>/h</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16"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装卸软管</w:t>
            </w:r>
          </w:p>
        </w:tc>
        <w:tc>
          <w:tcPr>
            <w:tcW w:w="4684" w:type="dxa"/>
            <w:tcBorders>
              <w:tl2br w:val="nil"/>
              <w:tr2bl w:val="nil"/>
            </w:tcBorders>
            <w:shd w:val="clear" w:color="auto" w:fill="auto"/>
            <w:vAlign w:val="center"/>
          </w:tcPr>
          <w:p>
            <w:pPr>
              <w:autoSpaceDE w:val="0"/>
              <w:autoSpaceDN w:val="0"/>
              <w:adjustRightInd w:val="0"/>
              <w:snapToGrid w:val="0"/>
              <w:jc w:val="center"/>
              <w:rPr>
                <w:color w:val="auto"/>
                <w:kern w:val="0"/>
                <w:szCs w:val="21"/>
                <w:highlight w:val="none"/>
              </w:rPr>
            </w:pPr>
            <w:r>
              <w:rPr>
                <w:rFonts w:hint="eastAsia" w:cs="宋体"/>
                <w:color w:val="auto"/>
                <w:kern w:val="0"/>
                <w:szCs w:val="21"/>
                <w:highlight w:val="none"/>
                <w:lang w:bidi="ar"/>
              </w:rPr>
              <w:t>装卸软管连接管泄漏孔径为</w:t>
            </w:r>
            <w:r>
              <w:rPr>
                <w:rFonts w:eastAsia="Times New Roman"/>
                <w:color w:val="auto"/>
                <w:kern w:val="0"/>
                <w:szCs w:val="21"/>
                <w:highlight w:val="none"/>
                <w:lang w:bidi="ar"/>
              </w:rPr>
              <w:t>10%</w:t>
            </w:r>
            <w:r>
              <w:rPr>
                <w:rFonts w:hint="eastAsia" w:cs="宋体"/>
                <w:color w:val="auto"/>
                <w:kern w:val="0"/>
                <w:szCs w:val="21"/>
                <w:highlight w:val="none"/>
                <w:lang w:bidi="ar"/>
              </w:rPr>
              <w:t>孔径（最大</w:t>
            </w:r>
          </w:p>
          <w:p>
            <w:pPr>
              <w:autoSpaceDE w:val="0"/>
              <w:autoSpaceDN w:val="0"/>
              <w:adjustRightInd w:val="0"/>
              <w:snapToGrid w:val="0"/>
              <w:jc w:val="center"/>
              <w:rPr>
                <w:color w:val="auto"/>
                <w:kern w:val="0"/>
                <w:szCs w:val="21"/>
                <w:highlight w:val="none"/>
              </w:rPr>
            </w:pPr>
            <w:r>
              <w:rPr>
                <w:rFonts w:eastAsia="Times New Roman"/>
                <w:color w:val="auto"/>
                <w:kern w:val="0"/>
                <w:szCs w:val="21"/>
                <w:highlight w:val="none"/>
                <w:lang w:bidi="ar"/>
              </w:rPr>
              <w:t>50mm</w:t>
            </w:r>
            <w:r>
              <w:rPr>
                <w:rFonts w:hint="eastAsia" w:cs="宋体"/>
                <w:color w:val="auto"/>
                <w:kern w:val="0"/>
                <w:szCs w:val="21"/>
                <w:highlight w:val="none"/>
                <w:lang w:bidi="ar"/>
              </w:rPr>
              <w:t>）装卸软管全管径泄漏</w:t>
            </w:r>
          </w:p>
        </w:tc>
        <w:tc>
          <w:tcPr>
            <w:tcW w:w="1771" w:type="dxa"/>
            <w:tcBorders>
              <w:tl2br w:val="nil"/>
              <w:tr2bl w:val="nil"/>
            </w:tcBorders>
            <w:shd w:val="clear" w:color="auto" w:fill="auto"/>
            <w:vAlign w:val="center"/>
          </w:tcPr>
          <w:p>
            <w:pPr>
              <w:autoSpaceDE w:val="0"/>
              <w:autoSpaceDN w:val="0"/>
              <w:adjustRightInd w:val="0"/>
              <w:snapToGrid w:val="0"/>
              <w:jc w:val="center"/>
              <w:rPr>
                <w:rFonts w:eastAsia="Times New Roman"/>
                <w:color w:val="auto"/>
                <w:kern w:val="0"/>
                <w:szCs w:val="21"/>
                <w:highlight w:val="none"/>
              </w:rPr>
            </w:pPr>
            <w:r>
              <w:rPr>
                <w:rFonts w:eastAsia="Times New Roman"/>
                <w:color w:val="auto"/>
                <w:kern w:val="0"/>
                <w:szCs w:val="21"/>
                <w:highlight w:val="none"/>
                <w:lang w:bidi="ar"/>
              </w:rPr>
              <w:t>4.00×10</w:t>
            </w:r>
            <w:r>
              <w:rPr>
                <w:rFonts w:eastAsia="Times New Roman"/>
                <w:color w:val="auto"/>
                <w:kern w:val="0"/>
                <w:position w:val="7"/>
                <w:sz w:val="13"/>
                <w:szCs w:val="13"/>
                <w:highlight w:val="none"/>
                <w:lang w:bidi="ar"/>
              </w:rPr>
              <w:t>-5</w:t>
            </w:r>
            <w:r>
              <w:rPr>
                <w:rFonts w:eastAsia="Times New Roman"/>
                <w:color w:val="auto"/>
                <w:kern w:val="0"/>
                <w:szCs w:val="21"/>
                <w:highlight w:val="none"/>
                <w:lang w:bidi="ar"/>
              </w:rPr>
              <w:t>/h</w:t>
            </w:r>
          </w:p>
          <w:p>
            <w:pPr>
              <w:autoSpaceDE w:val="0"/>
              <w:autoSpaceDN w:val="0"/>
              <w:adjustRightInd w:val="0"/>
              <w:snapToGrid w:val="0"/>
              <w:jc w:val="center"/>
              <w:rPr>
                <w:rFonts w:eastAsia="Times New Roman"/>
                <w:color w:val="auto"/>
                <w:kern w:val="0"/>
                <w:szCs w:val="21"/>
                <w:highlight w:val="none"/>
              </w:rPr>
            </w:pPr>
            <w:r>
              <w:rPr>
                <w:rFonts w:eastAsia="Times New Roman"/>
                <w:color w:val="auto"/>
                <w:kern w:val="0"/>
                <w:szCs w:val="21"/>
                <w:highlight w:val="none"/>
                <w:lang w:bidi="ar"/>
              </w:rPr>
              <w:t>4.00×10</w:t>
            </w:r>
            <w:r>
              <w:rPr>
                <w:rFonts w:eastAsia="Times New Roman"/>
                <w:color w:val="auto"/>
                <w:kern w:val="0"/>
                <w:position w:val="7"/>
                <w:sz w:val="13"/>
                <w:szCs w:val="13"/>
                <w:highlight w:val="none"/>
                <w:lang w:bidi="ar"/>
              </w:rPr>
              <w:t>-6</w:t>
            </w:r>
            <w:r>
              <w:rPr>
                <w:rFonts w:eastAsia="Times New Roman"/>
                <w:color w:val="auto"/>
                <w:kern w:val="0"/>
                <w:szCs w:val="21"/>
                <w:highlight w:val="none"/>
                <w:lang w:bidi="ar"/>
              </w:rPr>
              <w:t>/h</w:t>
            </w:r>
          </w:p>
        </w:tc>
      </w:tr>
    </w:tbl>
    <w:p>
      <w:pPr>
        <w:bidi w:val="0"/>
        <w:rPr>
          <w:rFonts w:hint="eastAsia"/>
          <w:color w:val="auto"/>
          <w:highlight w:val="none"/>
        </w:rPr>
      </w:pPr>
    </w:p>
    <w:p>
      <w:pPr>
        <w:adjustRightInd w:val="0"/>
        <w:snapToGrid w:val="0"/>
        <w:spacing w:line="360" w:lineRule="auto"/>
        <w:ind w:firstLine="480" w:firstLineChars="200"/>
        <w:rPr>
          <w:rFonts w:cs="宋体"/>
          <w:color w:val="auto"/>
          <w:sz w:val="24"/>
          <w:highlight w:val="none"/>
          <w:lang w:bidi="ar"/>
        </w:rPr>
      </w:pPr>
      <w:r>
        <w:rPr>
          <w:rFonts w:hint="eastAsia" w:cs="宋体"/>
          <w:color w:val="auto"/>
          <w:sz w:val="24"/>
          <w:highlight w:val="none"/>
          <w:lang w:bidi="ar"/>
        </w:rPr>
        <w:t>结合项目特点，本项目</w:t>
      </w:r>
      <w:r>
        <w:rPr>
          <w:rFonts w:hint="eastAsia" w:cs="宋体"/>
          <w:color w:val="auto"/>
          <w:sz w:val="24"/>
          <w:highlight w:val="none"/>
          <w:lang w:val="en-US" w:eastAsia="zh-CN" w:bidi="ar"/>
        </w:rPr>
        <w:t>DMF</w:t>
      </w:r>
      <w:r>
        <w:rPr>
          <w:rFonts w:hint="eastAsia" w:cs="宋体"/>
          <w:color w:val="auto"/>
          <w:sz w:val="24"/>
          <w:highlight w:val="none"/>
          <w:lang w:bidi="ar"/>
        </w:rPr>
        <w:t>贮存量超过临界量，一旦发生泄漏可能引发中毒、环境污染事故。且废气处理设施的故障及污水管道的泄漏会导致项目废水废气的事故排放，造成污染。因此项目的最大可信事故为</w:t>
      </w:r>
      <w:r>
        <w:rPr>
          <w:rFonts w:hint="eastAsia" w:cs="宋体"/>
          <w:color w:val="auto"/>
          <w:sz w:val="24"/>
          <w:highlight w:val="none"/>
          <w:lang w:val="en-US" w:eastAsia="zh-CN" w:bidi="ar"/>
        </w:rPr>
        <w:t>DMF</w:t>
      </w:r>
      <w:r>
        <w:rPr>
          <w:rFonts w:hint="eastAsia" w:cs="宋体"/>
          <w:color w:val="auto"/>
          <w:sz w:val="24"/>
          <w:highlight w:val="none"/>
          <w:lang w:bidi="ar"/>
        </w:rPr>
        <w:t>泄漏导致环境污染事故和环保设施出现故障或管道泄漏导致的环境污染事故。</w:t>
      </w:r>
    </w:p>
    <w:p>
      <w:pPr>
        <w:pStyle w:val="4"/>
        <w:bidi w:val="0"/>
        <w:rPr>
          <w:color w:val="auto"/>
          <w:highlight w:val="none"/>
        </w:rPr>
      </w:pPr>
      <w:r>
        <w:rPr>
          <w:rFonts w:hint="eastAsia"/>
          <w:color w:val="auto"/>
          <w:highlight w:val="none"/>
        </w:rPr>
        <w:t>源项分析</w:t>
      </w:r>
    </w:p>
    <w:p>
      <w:pPr>
        <w:adjustRightInd w:val="0"/>
        <w:snapToGrid w:val="0"/>
        <w:spacing w:line="360" w:lineRule="auto"/>
        <w:ind w:firstLine="480" w:firstLineChars="200"/>
        <w:rPr>
          <w:color w:val="auto"/>
          <w:highlight w:val="none"/>
        </w:rPr>
      </w:pPr>
      <w:r>
        <w:rPr>
          <w:rFonts w:hint="eastAsia" w:cs="宋体"/>
          <w:color w:val="auto"/>
          <w:sz w:val="24"/>
          <w:highlight w:val="none"/>
          <w:lang w:eastAsia="zh-CN" w:bidi="ar"/>
        </w:rPr>
        <w:t>（</w:t>
      </w:r>
      <w:r>
        <w:rPr>
          <w:rFonts w:hint="eastAsia" w:cs="宋体"/>
          <w:color w:val="auto"/>
          <w:sz w:val="24"/>
          <w:highlight w:val="none"/>
          <w:lang w:val="en-US" w:eastAsia="zh-CN" w:bidi="ar"/>
        </w:rPr>
        <w:t>1</w:t>
      </w:r>
      <w:r>
        <w:rPr>
          <w:rFonts w:hint="eastAsia" w:cs="宋体"/>
          <w:color w:val="auto"/>
          <w:sz w:val="24"/>
          <w:highlight w:val="none"/>
          <w:lang w:eastAsia="zh-CN" w:bidi="ar"/>
        </w:rPr>
        <w:t>）</w:t>
      </w:r>
      <w:r>
        <w:rPr>
          <w:rFonts w:hint="eastAsia" w:cs="宋体"/>
          <w:color w:val="auto"/>
          <w:sz w:val="24"/>
          <w:highlight w:val="none"/>
          <w:lang w:bidi="ar"/>
        </w:rPr>
        <w:t>水环境事故源项分析</w:t>
      </w:r>
    </w:p>
    <w:p>
      <w:pPr>
        <w:adjustRightInd w:val="0"/>
        <w:snapToGrid w:val="0"/>
        <w:spacing w:line="360" w:lineRule="auto"/>
        <w:ind w:firstLine="480" w:firstLineChars="200"/>
        <w:rPr>
          <w:rFonts w:hint="default" w:eastAsia="宋体"/>
          <w:color w:val="auto"/>
          <w:highlight w:val="none"/>
          <w:lang w:val="en-US" w:eastAsia="zh-CN"/>
        </w:rPr>
      </w:pPr>
      <w:r>
        <w:rPr>
          <w:rFonts w:hint="eastAsia" w:cs="宋体"/>
          <w:color w:val="auto"/>
          <w:sz w:val="24"/>
          <w:highlight w:val="none"/>
          <w:lang w:bidi="ar"/>
        </w:rPr>
        <w:t>本项目建成后发生的水环境污染事故主要为</w:t>
      </w:r>
      <w:r>
        <w:rPr>
          <w:rFonts w:hint="eastAsia" w:cs="宋体"/>
          <w:color w:val="auto"/>
          <w:sz w:val="24"/>
          <w:highlight w:val="none"/>
          <w:lang w:val="en-US" w:eastAsia="zh-CN" w:bidi="ar"/>
        </w:rPr>
        <w:t>储罐区</w:t>
      </w:r>
      <w:r>
        <w:rPr>
          <w:rFonts w:hint="eastAsia" w:cs="宋体"/>
          <w:color w:val="auto"/>
          <w:sz w:val="24"/>
          <w:highlight w:val="none"/>
          <w:lang w:bidi="ar"/>
        </w:rPr>
        <w:t>等危险区域的火灾事故时产生的消防废水、处理危险化学品、危废泄漏事故时产生的冲洗废水、污水管网泄漏产生的废水污染事故，由于雨水管为明管，若污水</w:t>
      </w:r>
      <w:r>
        <w:rPr>
          <w:rFonts w:hint="eastAsia" w:cs="宋体"/>
          <w:color w:val="auto"/>
          <w:sz w:val="24"/>
          <w:highlight w:val="none"/>
          <w:lang w:eastAsia="zh-CN" w:bidi="ar"/>
        </w:rPr>
        <w:t>管道</w:t>
      </w:r>
      <w:r>
        <w:rPr>
          <w:rFonts w:hint="eastAsia" w:cs="宋体"/>
          <w:color w:val="auto"/>
          <w:sz w:val="24"/>
          <w:highlight w:val="none"/>
          <w:lang w:bidi="ar"/>
        </w:rPr>
        <w:t>泄漏，泄漏污水可能通过雨水管网外排，对外环境造成不良影响。</w:t>
      </w:r>
      <w:r>
        <w:rPr>
          <w:rFonts w:hint="eastAsia" w:cs="宋体"/>
          <w:color w:val="auto"/>
          <w:sz w:val="24"/>
          <w:highlight w:val="none"/>
          <w:lang w:val="en-US" w:eastAsia="zh-CN" w:bidi="ar"/>
        </w:rPr>
        <w:t>同时根据现场调查，厂区蒸汽通道与地面接口处存在空隙，若不及时修补将导致事故废水直接泄漏进入外环境，造成污染。</w:t>
      </w:r>
    </w:p>
    <w:p>
      <w:pPr>
        <w:adjustRightInd w:val="0"/>
        <w:snapToGrid w:val="0"/>
        <w:spacing w:line="360" w:lineRule="auto"/>
        <w:ind w:firstLine="480" w:firstLineChars="200"/>
        <w:rPr>
          <w:color w:val="auto"/>
          <w:highlight w:val="none"/>
        </w:rPr>
      </w:pPr>
      <w:r>
        <w:rPr>
          <w:rFonts w:hint="eastAsia" w:cs="宋体"/>
          <w:color w:val="auto"/>
          <w:sz w:val="24"/>
          <w:highlight w:val="none"/>
          <w:lang w:eastAsia="zh-CN" w:bidi="ar"/>
        </w:rPr>
        <w:t>（</w:t>
      </w:r>
      <w:r>
        <w:rPr>
          <w:rFonts w:hint="eastAsia" w:cs="宋体"/>
          <w:color w:val="auto"/>
          <w:sz w:val="24"/>
          <w:highlight w:val="none"/>
          <w:lang w:val="en-US" w:eastAsia="zh-CN" w:bidi="ar"/>
        </w:rPr>
        <w:t>2</w:t>
      </w:r>
      <w:r>
        <w:rPr>
          <w:rFonts w:hint="eastAsia" w:cs="宋体"/>
          <w:color w:val="auto"/>
          <w:sz w:val="24"/>
          <w:highlight w:val="none"/>
          <w:lang w:eastAsia="zh-CN" w:bidi="ar"/>
        </w:rPr>
        <w:t>）</w:t>
      </w:r>
      <w:r>
        <w:rPr>
          <w:rFonts w:hint="eastAsia" w:cs="宋体"/>
          <w:color w:val="auto"/>
          <w:sz w:val="24"/>
          <w:highlight w:val="none"/>
          <w:lang w:bidi="ar"/>
        </w:rPr>
        <w:t>大气环境事故源项分析</w:t>
      </w:r>
    </w:p>
    <w:p>
      <w:pPr>
        <w:adjustRightInd w:val="0"/>
        <w:snapToGrid w:val="0"/>
        <w:spacing w:line="360" w:lineRule="auto"/>
        <w:ind w:firstLine="480" w:firstLineChars="200"/>
        <w:rPr>
          <w:rFonts w:hint="eastAsia" w:cs="宋体"/>
          <w:color w:val="auto"/>
          <w:sz w:val="24"/>
          <w:highlight w:val="none"/>
          <w:lang w:val="en-US" w:eastAsia="zh-CN" w:bidi="ar"/>
        </w:rPr>
      </w:pPr>
      <w:r>
        <w:rPr>
          <w:rFonts w:hint="eastAsia" w:cs="宋体"/>
          <w:color w:val="auto"/>
          <w:sz w:val="24"/>
          <w:highlight w:val="none"/>
          <w:lang w:val="en-US" w:eastAsia="zh-CN" w:bidi="ar"/>
        </w:rPr>
        <w:t>①废气非正常排放</w:t>
      </w:r>
    </w:p>
    <w:p>
      <w:pPr>
        <w:adjustRightInd w:val="0"/>
        <w:snapToGrid w:val="0"/>
        <w:spacing w:line="360" w:lineRule="auto"/>
        <w:ind w:firstLine="480" w:firstLineChars="200"/>
        <w:rPr>
          <w:rFonts w:hint="eastAsia" w:cs="宋体"/>
          <w:color w:val="auto"/>
          <w:sz w:val="24"/>
          <w:highlight w:val="none"/>
          <w:lang w:bidi="ar"/>
        </w:rPr>
      </w:pPr>
      <w:r>
        <w:rPr>
          <w:rFonts w:hint="eastAsia" w:cs="宋体"/>
          <w:color w:val="auto"/>
          <w:sz w:val="24"/>
          <w:highlight w:val="none"/>
          <w:lang w:val="en-US" w:eastAsia="zh-CN" w:bidi="ar"/>
        </w:rPr>
        <w:t>废气处理装置出现故障或废气管道破损时，大气污染物易直接排放至外环境，本项目设备尾气中主要为水蒸气，可能含有极少量的DMF，因此当出现非正常排放时，对周边的大气环境影响较小</w:t>
      </w:r>
      <w:r>
        <w:rPr>
          <w:rFonts w:hint="eastAsia" w:cs="宋体"/>
          <w:color w:val="auto"/>
          <w:sz w:val="24"/>
          <w:highlight w:val="none"/>
          <w:lang w:bidi="ar"/>
        </w:rPr>
        <w:t>。</w:t>
      </w:r>
    </w:p>
    <w:p>
      <w:pPr>
        <w:pStyle w:val="5"/>
        <w:bidi w:val="0"/>
        <w:rPr>
          <w:rFonts w:hint="eastAsia"/>
          <w:color w:val="auto"/>
          <w:highlight w:val="none"/>
          <w:lang w:val="en-US" w:eastAsia="zh-CN"/>
        </w:rPr>
      </w:pPr>
      <w:r>
        <w:rPr>
          <w:rFonts w:hint="eastAsia"/>
          <w:color w:val="auto"/>
          <w:highlight w:val="none"/>
          <w:lang w:val="en-US" w:eastAsia="zh-CN"/>
        </w:rPr>
        <w:t>②物质泄漏事故</w:t>
      </w:r>
    </w:p>
    <w:p>
      <w:pPr>
        <w:pStyle w:val="5"/>
        <w:bidi w:val="0"/>
        <w:rPr>
          <w:rFonts w:hint="default"/>
          <w:color w:val="auto"/>
          <w:highlight w:val="none"/>
          <w:lang w:val="en-US" w:eastAsia="zh-CN"/>
        </w:rPr>
      </w:pPr>
      <w:r>
        <w:rPr>
          <w:rFonts w:hint="eastAsia"/>
          <w:color w:val="auto"/>
          <w:highlight w:val="none"/>
          <w:lang w:val="en-US" w:eastAsia="zh-CN"/>
        </w:rPr>
        <w:t>DMF属于挥发性有机物，当DMF储罐发生泄漏，DMF以液池的形式存在围堰地面上，因此存在少量DMF挥发进入大气环境中，造成污染。</w:t>
      </w:r>
    </w:p>
    <w:p>
      <w:pPr>
        <w:pStyle w:val="5"/>
        <w:bidi w:val="0"/>
        <w:rPr>
          <w:rFonts w:hint="eastAsia"/>
          <w:color w:val="auto"/>
          <w:highlight w:val="none"/>
          <w:lang w:val="en-US" w:eastAsia="zh-CN"/>
        </w:rPr>
      </w:pPr>
      <w:r>
        <w:rPr>
          <w:rFonts w:hint="eastAsia"/>
          <w:color w:val="auto"/>
          <w:highlight w:val="none"/>
          <w:lang w:val="en-US" w:eastAsia="zh-CN"/>
        </w:rPr>
        <w:t>（3）火灾爆炸事故产生的伴生/次生危害分析</w:t>
      </w:r>
    </w:p>
    <w:p>
      <w:pPr>
        <w:pStyle w:val="5"/>
        <w:bidi w:val="0"/>
        <w:rPr>
          <w:rFonts w:hint="default"/>
          <w:color w:val="auto"/>
          <w:highlight w:val="none"/>
          <w:lang w:val="en-US" w:eastAsia="zh-CN"/>
        </w:rPr>
      </w:pPr>
      <w:r>
        <w:rPr>
          <w:rFonts w:hint="eastAsia"/>
          <w:color w:val="auto"/>
          <w:highlight w:val="none"/>
          <w:lang w:val="en-US" w:eastAsia="zh-CN"/>
        </w:rPr>
        <w:t>DMF是一种易燃物质，遇明火或高热可能引发火灾、燃爆，在储存过程中，一旦发生泄漏，易因处理不当、不及时引发火灾。其燃烧释放的热能可能造成其他容器、设备燃爆，且燃烧产生的火灾烟气和CO会对大气环境及周边人群的健康造成一定影响，消防废水收集至事故应急池，对水环境影响较小。</w:t>
      </w:r>
    </w:p>
    <w:p>
      <w:pPr>
        <w:pStyle w:val="2"/>
        <w:numPr>
          <w:ilvl w:val="1"/>
          <w:numId w:val="10"/>
        </w:numPr>
        <w:tabs>
          <w:tab w:val="left" w:pos="420"/>
          <w:tab w:val="clear" w:pos="0"/>
        </w:tabs>
        <w:adjustRightInd w:val="0"/>
        <w:snapToGrid w:val="0"/>
        <w:spacing w:before="240" w:after="240"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风险评价</w:t>
      </w:r>
    </w:p>
    <w:p>
      <w:pPr>
        <w:pStyle w:val="4"/>
        <w:bidi w:val="0"/>
        <w:rPr>
          <w:rFonts w:hint="default"/>
          <w:color w:val="auto"/>
          <w:highlight w:val="none"/>
        </w:rPr>
      </w:pPr>
      <w:r>
        <w:rPr>
          <w:rFonts w:hint="default"/>
          <w:color w:val="auto"/>
          <w:highlight w:val="none"/>
        </w:rPr>
        <w:t>大气环境风险影响分析</w:t>
      </w:r>
    </w:p>
    <w:p>
      <w:pPr>
        <w:pStyle w:val="5"/>
        <w:rPr>
          <w:rFonts w:hint="eastAsia"/>
          <w:color w:val="auto"/>
          <w:highlight w:val="none"/>
        </w:rPr>
      </w:pPr>
      <w:r>
        <w:rPr>
          <w:rFonts w:hint="eastAsia"/>
          <w:color w:val="auto"/>
          <w:highlight w:val="none"/>
        </w:rPr>
        <w:t>本项目的大气环境风险源主要为</w:t>
      </w:r>
      <w:r>
        <w:rPr>
          <w:rFonts w:hint="eastAsia"/>
          <w:color w:val="auto"/>
          <w:highlight w:val="none"/>
          <w:lang w:val="en-US" w:eastAsia="zh-CN"/>
        </w:rPr>
        <w:t>物质</w:t>
      </w:r>
      <w:r>
        <w:rPr>
          <w:rFonts w:hint="eastAsia"/>
          <w:color w:val="auto"/>
          <w:highlight w:val="none"/>
        </w:rPr>
        <w:t>泄漏、废气处理系统故障、管道破损等导致有机废气等直接排入大气环境中。</w:t>
      </w:r>
    </w:p>
    <w:p>
      <w:pPr>
        <w:pStyle w:val="5"/>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物质泄漏</w:t>
      </w:r>
    </w:p>
    <w:p>
      <w:pPr>
        <w:pStyle w:val="5"/>
        <w:rPr>
          <w:rFonts w:hint="default" w:eastAsia="宋体"/>
          <w:color w:val="auto"/>
          <w:highlight w:val="none"/>
          <w:lang w:val="en-US" w:eastAsia="zh-CN"/>
        </w:rPr>
      </w:pPr>
      <w:r>
        <w:rPr>
          <w:rFonts w:hint="eastAsia"/>
          <w:color w:val="auto"/>
          <w:highlight w:val="none"/>
          <w:lang w:val="en-US" w:eastAsia="zh-CN"/>
        </w:rPr>
        <w:t>物质泄漏常见原因是管理不善、员工操作不当以及设备、容器陈旧等导致生产性事故或意外事故。</w:t>
      </w:r>
      <w:r>
        <w:rPr>
          <w:rFonts w:hint="eastAsia"/>
          <w:color w:val="auto"/>
          <w:highlight w:val="none"/>
        </w:rPr>
        <w:t>事故一旦发生，其中</w:t>
      </w:r>
      <w:r>
        <w:rPr>
          <w:rFonts w:hint="eastAsia"/>
          <w:color w:val="auto"/>
          <w:highlight w:val="none"/>
          <w:lang w:val="en-US" w:eastAsia="zh-CN"/>
        </w:rPr>
        <w:t>挥发出的</w:t>
      </w:r>
      <w:r>
        <w:rPr>
          <w:rFonts w:hint="eastAsia"/>
          <w:color w:val="auto"/>
          <w:highlight w:val="none"/>
        </w:rPr>
        <w:t>DMF属于有毒气体，容易被人体皮肤吸收，且可能造成人体慢性或急性中毒。</w:t>
      </w:r>
      <w:r>
        <w:rPr>
          <w:rFonts w:hint="eastAsia"/>
          <w:color w:val="auto"/>
          <w:highlight w:val="none"/>
          <w:lang w:val="en-US" w:eastAsia="zh-CN"/>
        </w:rPr>
        <w:t>建设单位加强设备管理维护和员工的安全培训，设置巡检制度对储罐的储存状态及完好性、输送管道、围堰等环节进行检查并记录在表，以降低物质泄漏事故的发生概率，同时在储罐区配备堵漏、收集等应急物资，及时采取应急措施，以保证物质发生泄漏的事故风险能够得到有效控制。</w:t>
      </w:r>
    </w:p>
    <w:p>
      <w:pPr>
        <w:pStyle w:val="5"/>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废气处理设施故障、管道破损</w:t>
      </w:r>
    </w:p>
    <w:p>
      <w:pPr>
        <w:pStyle w:val="5"/>
        <w:bidi w:val="0"/>
        <w:rPr>
          <w:rFonts w:hint="default"/>
          <w:color w:val="auto"/>
          <w:highlight w:val="none"/>
          <w:lang w:val="en-US" w:eastAsia="zh-CN"/>
        </w:rPr>
      </w:pPr>
      <w:r>
        <w:rPr>
          <w:rFonts w:hint="eastAsia"/>
          <w:color w:val="auto"/>
          <w:highlight w:val="none"/>
          <w:lang w:val="en-US" w:eastAsia="zh-CN"/>
        </w:rPr>
        <w:t>废气处理设施故障往往是环保设施运行管理不当、设施老化等引起，事故一旦发生，有机废气将进入到大气中，考虑到本工程废气中的DMF量极少，非正常排放到大气环境中影响较小。但建设单位需派专人对环保设施进行维护，定期对废气处理设施、输送管道、收集管道等各环节进行</w:t>
      </w:r>
      <w:r>
        <w:rPr>
          <w:rFonts w:hint="eastAsia"/>
          <w:color w:val="auto"/>
          <w:highlight w:val="none"/>
        </w:rPr>
        <w:t>检查、及时排除故障可将废气处理设施失效的发生频率降到最低限度。由于发生频率小、废气泄漏量少，项目产生的大气环境风险较低。当发生废气泄漏事故时，应及时对废气扩散下风向的群众进行紧急疏散，并对其进行监测，确保其能够低于毒性终点浓度，以避免大气环境风险事故对周边居民的危害。</w:t>
      </w:r>
    </w:p>
    <w:p>
      <w:pPr>
        <w:pStyle w:val="4"/>
        <w:bidi w:val="0"/>
        <w:rPr>
          <w:rFonts w:hint="default"/>
          <w:color w:val="auto"/>
          <w:highlight w:val="none"/>
          <w:lang w:val="en-US" w:eastAsia="zh-CN"/>
        </w:rPr>
      </w:pPr>
      <w:r>
        <w:rPr>
          <w:rFonts w:hint="default"/>
          <w:color w:val="auto"/>
          <w:highlight w:val="none"/>
          <w:lang w:val="en-US" w:eastAsia="zh-CN"/>
        </w:rPr>
        <w:t>地表水环境风险影响分析</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本项目地表水环境风险主要为火灾爆炸和事故喷淋时产生的消防污水、泄漏物料及受到污染的雨水流至地面，进入厂区的雨水管网排至地表水环境造成污染，其污染因子主要为DMF、COD等。</w:t>
      </w:r>
      <w:r>
        <w:rPr>
          <w:rFonts w:hint="default" w:ascii="Times New Roman" w:hAnsi="Times New Roman" w:eastAsia="宋体" w:cs="Times New Roman"/>
          <w:color w:val="auto"/>
          <w:sz w:val="24"/>
          <w:highlight w:val="none"/>
          <w:lang w:val="en-US" w:eastAsia="zh-CN"/>
        </w:rPr>
        <w:t>当发生物料泄漏事故时，应将围堰泄漏物料及时收集，回收完泄漏的物料后，用水对地面进行冲洗，并将</w:t>
      </w:r>
      <w:r>
        <w:rPr>
          <w:rFonts w:hint="default" w:ascii="Times New Roman" w:hAnsi="Times New Roman" w:cs="Times New Roman"/>
          <w:color w:val="auto"/>
          <w:sz w:val="24"/>
          <w:highlight w:val="none"/>
          <w:lang w:val="en-US" w:eastAsia="zh-CN"/>
        </w:rPr>
        <w:t>废水</w:t>
      </w:r>
      <w:r>
        <w:rPr>
          <w:rFonts w:hint="default" w:ascii="Times New Roman" w:hAnsi="Times New Roman" w:eastAsia="宋体" w:cs="Times New Roman"/>
          <w:color w:val="auto"/>
          <w:sz w:val="24"/>
          <w:highlight w:val="none"/>
          <w:lang w:val="en-US" w:eastAsia="zh-CN"/>
        </w:rPr>
        <w:t>引至应急池，不允许出现随意外排的现象。</w:t>
      </w:r>
      <w:r>
        <w:rPr>
          <w:rFonts w:hint="default" w:ascii="Times New Roman" w:hAnsi="Times New Roman" w:cs="Times New Roman"/>
          <w:color w:val="auto"/>
          <w:highlight w:val="none"/>
          <w:lang w:val="en-US" w:eastAsia="zh-CN"/>
        </w:rPr>
        <w:t>本项目储罐区均设置围堰并配套切换阀门设施，事故废水的收集依托厂内已建200m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vertAlign w:val="baseline"/>
          <w:lang w:val="en-US" w:eastAsia="zh-CN"/>
        </w:rPr>
        <w:t>事故应急池，足够</w:t>
      </w:r>
      <w:r>
        <w:rPr>
          <w:rFonts w:hint="default" w:ascii="Times New Roman" w:hAnsi="Times New Roman" w:cs="Times New Roman"/>
          <w:color w:val="auto"/>
          <w:highlight w:val="none"/>
          <w:lang w:val="en-US" w:eastAsia="zh-CN"/>
        </w:rPr>
        <w:t>容纳本项目事故废水，可将</w:t>
      </w:r>
      <w:r>
        <w:rPr>
          <w:rFonts w:hint="default" w:ascii="Times New Roman" w:hAnsi="Times New Roman" w:cs="Times New Roman"/>
          <w:color w:val="auto"/>
          <w:sz w:val="24"/>
          <w:szCs w:val="24"/>
          <w:highlight w:val="none"/>
          <w:lang w:val="en-US" w:eastAsia="zh-CN"/>
        </w:rPr>
        <w:t>废水</w:t>
      </w:r>
      <w:r>
        <w:rPr>
          <w:rFonts w:hint="default" w:ascii="Times New Roman" w:hAnsi="Times New Roman" w:cs="Times New Roman"/>
          <w:color w:val="auto"/>
          <w:highlight w:val="none"/>
        </w:rPr>
        <w:t>控制在厂区内，不外排到外环境，不会对厂区外的环境造成明显的影响</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同时</w:t>
      </w:r>
      <w:r>
        <w:rPr>
          <w:rFonts w:hint="default" w:ascii="Times New Roman" w:hAnsi="Times New Roman" w:eastAsia="宋体" w:cs="Times New Roman"/>
          <w:color w:val="auto"/>
          <w:sz w:val="24"/>
          <w:highlight w:val="none"/>
          <w:lang w:val="en-US" w:eastAsia="zh-CN"/>
        </w:rPr>
        <w:t>与园区应急系统联防联控，一旦发生较大或重大环境风险事故时可能出现事故废水超出厂区事故应急池容积的情况下，可将事故废水引至园区污水厂的事故应急池暂存。从而避免环境风险带来的废水或危险物质排入周边地表水体污染水质。</w:t>
      </w:r>
    </w:p>
    <w:p>
      <w:pPr>
        <w:pStyle w:val="4"/>
        <w:bidi w:val="0"/>
        <w:rPr>
          <w:rFonts w:hint="default"/>
          <w:color w:val="auto"/>
          <w:highlight w:val="none"/>
        </w:rPr>
      </w:pPr>
      <w:r>
        <w:rPr>
          <w:rFonts w:hint="default"/>
          <w:color w:val="auto"/>
          <w:highlight w:val="none"/>
          <w:lang w:val="en-US" w:eastAsia="zh-CN"/>
        </w:rPr>
        <w:t>火灾爆炸事故伴生/次生危害影响分析</w:t>
      </w:r>
    </w:p>
    <w:p>
      <w:pPr>
        <w:pStyle w:val="5"/>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本项目储罐区</w:t>
      </w:r>
      <w:r>
        <w:rPr>
          <w:rFonts w:hint="default" w:ascii="Times New Roman" w:hAnsi="Times New Roman" w:cs="Times New Roman"/>
          <w:color w:val="auto"/>
          <w:kern w:val="2"/>
          <w:sz w:val="24"/>
          <w:szCs w:val="24"/>
          <w:highlight w:val="none"/>
          <w:lang w:val="en-US" w:eastAsia="zh-CN" w:bidi="ar-SA"/>
        </w:rPr>
        <w:t>及DMF废液回收处理设备</w:t>
      </w:r>
      <w:r>
        <w:rPr>
          <w:rFonts w:hint="default" w:ascii="Times New Roman" w:hAnsi="Times New Roman" w:eastAsia="宋体" w:cs="Times New Roman"/>
          <w:color w:val="auto"/>
          <w:kern w:val="2"/>
          <w:sz w:val="24"/>
          <w:szCs w:val="24"/>
          <w:highlight w:val="none"/>
          <w:lang w:val="en-US" w:eastAsia="zh-CN" w:bidi="ar-SA"/>
        </w:rPr>
        <w:t>隔绝明火，远离热源并设置安全标识，防止遇火引起火灾，降低火灾及爆炸事故发生概率。</w:t>
      </w:r>
      <w:r>
        <w:rPr>
          <w:rFonts w:hint="default" w:ascii="Times New Roman" w:hAnsi="Times New Roman" w:cs="Times New Roman"/>
          <w:color w:val="auto"/>
          <w:kern w:val="2"/>
          <w:sz w:val="24"/>
          <w:szCs w:val="24"/>
          <w:highlight w:val="none"/>
          <w:lang w:val="en-US" w:eastAsia="zh-CN" w:bidi="ar-SA"/>
        </w:rPr>
        <w:t>生产</w:t>
      </w:r>
      <w:r>
        <w:rPr>
          <w:rFonts w:hint="default" w:ascii="Times New Roman" w:hAnsi="Times New Roman" w:eastAsia="宋体" w:cs="Times New Roman"/>
          <w:color w:val="auto"/>
          <w:kern w:val="2"/>
          <w:sz w:val="24"/>
          <w:szCs w:val="24"/>
          <w:highlight w:val="none"/>
          <w:lang w:val="en-US" w:eastAsia="zh-CN" w:bidi="ar-SA"/>
        </w:rPr>
        <w:t>车间</w:t>
      </w:r>
      <w:r>
        <w:rPr>
          <w:rFonts w:hint="default" w:ascii="Times New Roman" w:hAnsi="Times New Roman" w:cs="Times New Roman"/>
          <w:color w:val="auto"/>
          <w:kern w:val="2"/>
          <w:sz w:val="24"/>
          <w:szCs w:val="24"/>
          <w:highlight w:val="none"/>
          <w:lang w:val="en-US" w:eastAsia="zh-CN" w:bidi="ar-SA"/>
        </w:rPr>
        <w:t>、储罐区、DMF回收设备</w:t>
      </w:r>
      <w:r>
        <w:rPr>
          <w:rFonts w:hint="default" w:ascii="Times New Roman" w:hAnsi="Times New Roman" w:eastAsia="宋体" w:cs="Times New Roman"/>
          <w:color w:val="auto"/>
          <w:kern w:val="2"/>
          <w:sz w:val="24"/>
          <w:szCs w:val="24"/>
          <w:highlight w:val="none"/>
          <w:lang w:val="en-US" w:eastAsia="zh-CN" w:bidi="ar-SA"/>
        </w:rPr>
        <w:t>配备视频监控发生泄漏时，在第一时间发现并收集，降低火灾发生概率。一旦发生火灾，利用消防设施灭火，上报应急救援组织，尽量在火灾初期控制火灾，防止火势蔓延；疏散员工与周围居民，以降低火灾、爆炸产生的烟气及CO对周围人群及环境的影响。消防废水进入事故应急池，不会对周围水环境产生明显影响。</w:t>
      </w:r>
    </w:p>
    <w:p>
      <w:pPr>
        <w:pStyle w:val="4"/>
        <w:bidi w:val="0"/>
        <w:rPr>
          <w:rFonts w:hint="default"/>
          <w:color w:val="auto"/>
          <w:highlight w:val="none"/>
        </w:rPr>
      </w:pPr>
      <w:r>
        <w:rPr>
          <w:rFonts w:hint="default"/>
          <w:color w:val="auto"/>
          <w:highlight w:val="none"/>
        </w:rPr>
        <w:t>地下水环境影响分析</w:t>
      </w:r>
    </w:p>
    <w:p>
      <w:pPr>
        <w:pStyle w:val="5"/>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发生毒物泄漏或者火灾爆炸情况下，主要废水污染因子涉及pH、CDO、DMF等。根据搜集区域地下水相关资料，区域地下水执行《地下水质量标准》（GB/T14848-2017）中Ⅲ类标准，水位埋深为1.0~2.9m，且水位变化主要受降水、潮汐影响，降水的影响尤其显著。本项目发生环境风险事故情况下，一旦防渗层破裂或者未采取有效防渗措施，废水污染因子易进入地下水环境，从而造成区域地下水污染事故。</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同时，项目建成后按照《环境影响评价技术导则 地下水环境》（HJ610-2016），将厂区划分为一般污染防治区、重点污染防治区、简单污染防治区，并针对现状防渗措施不足之处提出整改措施，不同区域设置不同的防渗措施。因此，项目危险物质泄漏对地下水环境影响较小。</w:t>
      </w:r>
    </w:p>
    <w:p>
      <w:pPr>
        <w:pStyle w:val="2"/>
        <w:numPr>
          <w:ilvl w:val="1"/>
          <w:numId w:val="10"/>
        </w:numPr>
        <w:tabs>
          <w:tab w:val="left" w:pos="420"/>
          <w:tab w:val="clear" w:pos="0"/>
        </w:tabs>
        <w:adjustRightInd w:val="0"/>
        <w:snapToGrid w:val="0"/>
        <w:spacing w:before="240" w:after="240"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环境风险防范措施</w:t>
      </w:r>
    </w:p>
    <w:p>
      <w:pPr>
        <w:pStyle w:val="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大气环境风险防范措施</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物质泄漏风险防范措施</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①</w:t>
      </w:r>
      <w:r>
        <w:rPr>
          <w:rFonts w:hint="eastAsia" w:cs="Times New Roman"/>
          <w:color w:val="auto"/>
          <w:highlight w:val="none"/>
          <w:lang w:val="en-US" w:eastAsia="zh-CN"/>
        </w:rPr>
        <w:t>厂内储罐区等易泄漏点未安装视频监控，因此企业应在</w:t>
      </w:r>
      <w:r>
        <w:rPr>
          <w:rFonts w:hint="default" w:ascii="Times New Roman" w:hAnsi="Times New Roman" w:cs="Times New Roman"/>
          <w:color w:val="auto"/>
          <w:highlight w:val="none"/>
          <w:lang w:val="en-US" w:eastAsia="zh-CN"/>
        </w:rPr>
        <w:t>DMF废液回收处理设备及储罐区</w:t>
      </w:r>
      <w:r>
        <w:rPr>
          <w:rFonts w:hint="default" w:ascii="Times New Roman" w:hAnsi="Times New Roman" w:cs="Times New Roman"/>
          <w:color w:val="auto"/>
          <w:highlight w:val="none"/>
        </w:rPr>
        <w:t>安排人员进行巡视，</w:t>
      </w:r>
      <w:r>
        <w:rPr>
          <w:rFonts w:hint="default" w:ascii="Times New Roman" w:hAnsi="Times New Roman" w:cs="Times New Roman"/>
          <w:color w:val="auto"/>
          <w:highlight w:val="none"/>
          <w:lang w:val="en-US" w:eastAsia="zh-CN"/>
        </w:rPr>
        <w:t>设置视频监控，对</w:t>
      </w:r>
      <w:r>
        <w:rPr>
          <w:rFonts w:hint="default" w:ascii="Times New Roman" w:hAnsi="Times New Roman" w:cs="Times New Roman"/>
          <w:color w:val="auto"/>
          <w:highlight w:val="none"/>
        </w:rPr>
        <w:t>项目环境风险事故</w:t>
      </w:r>
      <w:r>
        <w:rPr>
          <w:rFonts w:hint="default" w:ascii="Times New Roman" w:hAnsi="Times New Roman" w:cs="Times New Roman"/>
          <w:color w:val="auto"/>
          <w:highlight w:val="none"/>
          <w:lang w:val="en-US" w:eastAsia="zh-CN"/>
        </w:rPr>
        <w:t>进行</w:t>
      </w:r>
      <w:r>
        <w:rPr>
          <w:rFonts w:hint="default" w:ascii="Times New Roman" w:hAnsi="Times New Roman" w:cs="Times New Roman"/>
          <w:color w:val="auto"/>
          <w:highlight w:val="none"/>
        </w:rPr>
        <w:t>排查，及时发现安全隐患及环境风险隐患，降低事故发生概率。</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②储罐采用的材质应符合不易变形、不产生裂缝、不腐蚀、经久耐用等要求；严格控制储罐的加工安装质量；加强储罐的操作、维护维修管理，严防因人为操作及设备损坏引起的物料泄漏。</w:t>
      </w:r>
    </w:p>
    <w:p>
      <w:pPr>
        <w:pStyle w:val="5"/>
        <w:ind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highlight w:val="none"/>
          <w:lang w:val="en-US" w:eastAsia="zh-CN"/>
        </w:rPr>
        <w:t>③</w:t>
      </w:r>
      <w:r>
        <w:rPr>
          <w:rFonts w:hint="default" w:ascii="Times New Roman" w:hAnsi="Times New Roman" w:eastAsia="宋体" w:cs="Times New Roman"/>
          <w:color w:val="auto"/>
          <w:sz w:val="24"/>
          <w:highlight w:val="none"/>
          <w:lang w:val="en-US" w:eastAsia="zh-CN"/>
        </w:rPr>
        <w:t>安排专人对</w:t>
      </w:r>
      <w:r>
        <w:rPr>
          <w:rFonts w:hint="default" w:ascii="Times New Roman" w:hAnsi="Times New Roman" w:cs="Times New Roman"/>
          <w:color w:val="auto"/>
          <w:sz w:val="24"/>
          <w:highlight w:val="none"/>
          <w:lang w:val="en-US" w:eastAsia="zh-CN"/>
        </w:rPr>
        <w:t>生产车间、配料间、DMF回收设备、</w:t>
      </w:r>
      <w:r>
        <w:rPr>
          <w:rFonts w:hint="default" w:ascii="Times New Roman" w:hAnsi="Times New Roman" w:eastAsia="宋体" w:cs="Times New Roman"/>
          <w:color w:val="auto"/>
          <w:sz w:val="24"/>
          <w:highlight w:val="none"/>
          <w:lang w:val="en-US" w:eastAsia="zh-CN"/>
        </w:rPr>
        <w:t>储罐区</w:t>
      </w:r>
      <w:r>
        <w:rPr>
          <w:rFonts w:hint="default" w:ascii="Times New Roman" w:hAnsi="Times New Roman" w:cs="Times New Roman"/>
          <w:color w:val="auto"/>
          <w:sz w:val="24"/>
          <w:highlight w:val="none"/>
          <w:lang w:val="en-US" w:eastAsia="zh-CN"/>
        </w:rPr>
        <w:t>等区域</w:t>
      </w:r>
      <w:r>
        <w:rPr>
          <w:rFonts w:hint="default" w:ascii="Times New Roman" w:hAnsi="Times New Roman" w:eastAsia="宋体" w:cs="Times New Roman"/>
          <w:color w:val="auto"/>
          <w:sz w:val="24"/>
          <w:highlight w:val="none"/>
          <w:lang w:val="en-US" w:eastAsia="zh-CN"/>
        </w:rPr>
        <w:t>进行巡视，对储罐容器、阀门、输送管道及管道与储罐的衔接处等易发生泄漏点进行排查，保证</w:t>
      </w:r>
      <w:r>
        <w:rPr>
          <w:rFonts w:hint="default" w:ascii="Times New Roman" w:hAnsi="Times New Roman" w:eastAsia="宋体" w:cs="Times New Roman"/>
          <w:color w:val="auto"/>
          <w:kern w:val="2"/>
          <w:sz w:val="24"/>
          <w:szCs w:val="22"/>
          <w:highlight w:val="none"/>
          <w:lang w:val="en-US" w:eastAsia="zh-CN"/>
        </w:rPr>
        <w:t>储罐完好无损、阀门牢固</w:t>
      </w:r>
      <w:r>
        <w:rPr>
          <w:rFonts w:hint="default" w:ascii="Times New Roman" w:hAnsi="Times New Roman" w:eastAsia="宋体" w:cs="Times New Roman"/>
          <w:color w:val="auto"/>
          <w:sz w:val="24"/>
          <w:highlight w:val="none"/>
          <w:lang w:val="en-US" w:eastAsia="zh-CN"/>
        </w:rPr>
        <w:t>并记录在表，及时发现安全隐患及环境风险隐患，降低事故发生的概率。</w:t>
      </w:r>
    </w:p>
    <w:p>
      <w:pPr>
        <w:pStyle w:val="5"/>
        <w:ind w:firstLine="48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④罐区分别设置污水及雨水阀门，且处于常关状态，以使突发性泄漏的物料囤积在罐区内，不跑到外围。</w:t>
      </w:r>
    </w:p>
    <w:p>
      <w:pPr>
        <w:pStyle w:val="5"/>
        <w:ind w:firstLine="48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⑤加强对危险废物临时存储设施的管理，避免出现危险固废随意处置现象。危险废物的储存除需设危险废物暂存场所集中储存和管理外，必须遵守国务院下达的《危险化学品安全管理条例》，设专人负责。危险废物贮存严格按照《危险废物贮存污染控制标准》（GB18597-2001）及其修改单中的规定执行，存放于防腐、防漏容器中，密封存放，定期委托有资质单位回收处理。</w:t>
      </w:r>
    </w:p>
    <w:p>
      <w:pPr>
        <w:pStyle w:val="5"/>
        <w:ind w:firstLine="48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⑥</w:t>
      </w:r>
      <w:r>
        <w:rPr>
          <w:rFonts w:hint="eastAsia" w:cs="Times New Roman"/>
          <w:color w:val="auto"/>
          <w:sz w:val="24"/>
          <w:highlight w:val="none"/>
          <w:lang w:val="en-US" w:eastAsia="zh-CN"/>
        </w:rPr>
        <w:t>厂区内已配备应急救援物资及救援器材，当发生事故时，可及时开展救援；建设单位还应当考虑在</w:t>
      </w:r>
      <w:r>
        <w:rPr>
          <w:rFonts w:hint="default" w:ascii="Times New Roman" w:hAnsi="Times New Roman" w:cs="Times New Roman"/>
          <w:color w:val="auto"/>
          <w:sz w:val="24"/>
          <w:highlight w:val="none"/>
          <w:lang w:val="en-US" w:eastAsia="zh-CN"/>
        </w:rPr>
        <w:t>仓库、生产车间、储罐区、DMF回收设备、危险废物暂存间</w:t>
      </w:r>
      <w:r>
        <w:rPr>
          <w:rFonts w:hint="eastAsia" w:cs="Times New Roman"/>
          <w:color w:val="auto"/>
          <w:sz w:val="24"/>
          <w:highlight w:val="none"/>
          <w:lang w:val="en-US" w:eastAsia="zh-CN"/>
        </w:rPr>
        <w:t>等易泄漏点</w:t>
      </w:r>
      <w:r>
        <w:rPr>
          <w:rFonts w:hint="default" w:ascii="Times New Roman" w:hAnsi="Times New Roman" w:cs="Times New Roman"/>
          <w:color w:val="auto"/>
          <w:sz w:val="24"/>
          <w:highlight w:val="none"/>
          <w:lang w:val="en-US" w:eastAsia="zh-CN"/>
        </w:rPr>
        <w:t>配备堵漏物质及应急救援器材，当发生少量泄漏时，第一时间对泄漏容器进行控制，并利用围堰将泄漏物料收集。当发生大量泄漏时，应先检查围堰阀门处于关闭状态，利用消防泡沫降低蒸气灾害，并将剩余物料转移至完好容器中，泄漏物料抽取至事故应急池中。</w:t>
      </w:r>
      <w:r>
        <w:rPr>
          <w:rFonts w:hint="eastAsia" w:cs="Times New Roman"/>
          <w:color w:val="auto"/>
          <w:sz w:val="24"/>
          <w:highlight w:val="none"/>
          <w:lang w:val="en-US" w:eastAsia="zh-CN"/>
        </w:rPr>
        <w:t>应急物资应定期更换补充。</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⑦DMF装卸区域应设有明显标识，装卸应严格按照《危险化学品安全管理条例》进行，罐体在装卸时应留有一定容积，禁止过量充装或满载。</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⑧</w:t>
      </w:r>
      <w:r>
        <w:rPr>
          <w:rFonts w:hint="default" w:ascii="Times New Roman" w:hAnsi="Times New Roman" w:cs="Times New Roman"/>
          <w:color w:val="auto"/>
          <w:highlight w:val="none"/>
        </w:rPr>
        <w:t>加强各岗位操作人员进行岗位培训与应急训练，规范操作流程，防止误操作导致物料、废气、废水的泄漏。</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（2）大气环境风险防范措施</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①</w:t>
      </w:r>
      <w:r>
        <w:rPr>
          <w:rFonts w:hint="default" w:ascii="Times New Roman" w:hAnsi="Times New Roman" w:cs="Times New Roman"/>
          <w:color w:val="auto"/>
          <w:highlight w:val="none"/>
        </w:rPr>
        <w:t>定期对废气处理设施及其配套管道、阀门进行巡查，一旦发现问题，及时检修，防止因生产安全问题引发环境污染事故。</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②严格遵守“三同时”制度，建设单位不得私自停用环保设施，应对环保设施、生产设备定期进行检查，使各处理设施处于完备有效的状态，以保证处理效率和污染物达标排放。</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③建立大气风险防控措施隐患排查机制，严格按照本评价提出的环境监测计划，对本项目产生的DMF、非甲烷总烃等有毒有害大气污染物进行定期委托监测。</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④建立突发环境事件信息通报机制，设置专人担任应急联络员，在突发环境事件发生后及时通报可能受到污染危害的单位和居民，上报相关部门形成应急内外联动。</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除上述防范措施外，企业还应将厂内火灾报警系统与消防水泵、灭火系统设置联动，并建立应急救援预案，健全中毒人员现场救护措施及送医措施，结合消防演练定期组织突发环境事件应急演练，由各主管部门负责组织。</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（3）火灾事故防范措施</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生产操作过程中做好安全防范工作，加强车间、仓库、危险废物暂存间等消防安全管理，隔绝明火，远离热源，消防设施到期更换，应急救援设备及时补充，加强日常检查和维护，并做好记录。门口悬挂“严禁烟火”等警告标识牌及应急联系电话。</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车间、储罐区、仓库、配料间等区域配备消防设施，在厂房内可能有可燃气体泄漏或聚集危险的关键地点装设烟火灾报警器，建议警报装置与消防水泵及灭火系统进行联动，若发生火灾事故可第一时间进行救援。</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③若发生火灾事故时，企业应及时关闭厂区雨水口阀门，使消防废水和事故废液集中汇入至厂区设置的地下应急事故水池内，严禁通过雨水口排放到周边水体。</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定期组织员工进行消防安全培训，加强日常消防演练。</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⑥建设单位与市安监局、生态环境局、消防大队等政府主管部门建立了紧急应急救援联系通道，发生事故时及时联系，依托外部力量协助处置。</w:t>
      </w:r>
    </w:p>
    <w:p>
      <w:pPr>
        <w:pStyle w:val="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水环境风险防范措施</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污水输送管道须符合国家安全质量要求且采用可靠的防腐涂层及保护层，</w:t>
      </w:r>
      <w:r>
        <w:rPr>
          <w:rFonts w:hint="default" w:ascii="Times New Roman" w:hAnsi="Times New Roman" w:cs="Times New Roman"/>
          <w:color w:val="auto"/>
          <w:highlight w:val="none"/>
          <w:lang w:val="en-US" w:eastAsia="zh-CN"/>
        </w:rPr>
        <w:t>并参照</w:t>
      </w:r>
      <w:r>
        <w:rPr>
          <w:rFonts w:hint="default" w:ascii="Times New Roman" w:hAnsi="Times New Roman" w:cs="Times New Roman"/>
          <w:color w:val="auto"/>
          <w:highlight w:val="none"/>
        </w:rPr>
        <w:t>《危险废物贮存污染控制标准》（GB18597-2001）</w:t>
      </w:r>
      <w:r>
        <w:rPr>
          <w:rFonts w:hint="default" w:ascii="Times New Roman" w:hAnsi="Times New Roman" w:cs="Times New Roman"/>
          <w:color w:val="auto"/>
          <w:highlight w:val="none"/>
          <w:lang w:val="en-US" w:eastAsia="zh-CN"/>
        </w:rPr>
        <w:t>采用高强度的防渗管道，</w:t>
      </w:r>
      <w:r>
        <w:rPr>
          <w:rFonts w:hint="default" w:ascii="Times New Roman" w:hAnsi="Times New Roman" w:cs="Times New Roman"/>
          <w:color w:val="auto"/>
          <w:highlight w:val="none"/>
        </w:rPr>
        <w:t>其施工须保证接头处焊接牢固以避免废水在输送过程中泄漏。</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加强设备管理，认真做好管道、阀门的检查工作，对存在的安全隐患的设备、管道、阀门及时进行修理或更换。</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按照《环境影响评价技术导则 地下水环境》（HJ610-2016）</w:t>
      </w:r>
      <w:r>
        <w:rPr>
          <w:rFonts w:hint="eastAsia" w:cs="Times New Roman"/>
          <w:color w:val="auto"/>
          <w:highlight w:val="none"/>
          <w:lang w:val="en-US" w:eastAsia="zh-CN"/>
        </w:rPr>
        <w:t>完善</w:t>
      </w:r>
      <w:r>
        <w:rPr>
          <w:rFonts w:hint="default" w:ascii="Times New Roman" w:hAnsi="Times New Roman" w:cs="Times New Roman"/>
          <w:color w:val="auto"/>
          <w:highlight w:val="none"/>
          <w:lang w:val="en-US" w:eastAsia="zh-CN"/>
        </w:rPr>
        <w:t>厂区内分区防渗措施</w:t>
      </w:r>
      <w:r>
        <w:rPr>
          <w:rFonts w:hint="default" w:ascii="Times New Roman" w:hAnsi="Times New Roman" w:cs="Times New Roman"/>
          <w:color w:val="auto"/>
          <w:highlight w:val="none"/>
        </w:rPr>
        <w:t>，防止因物料泄漏、洒落而污染土壤；加强生产管理，避免跑、冒、滴、漏引发水环境污染。</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完善</w:t>
      </w:r>
      <w:r>
        <w:rPr>
          <w:rFonts w:hint="default" w:ascii="Times New Roman" w:hAnsi="Times New Roman" w:cs="Times New Roman"/>
          <w:color w:val="auto"/>
          <w:highlight w:val="none"/>
          <w:lang w:val="en-US" w:eastAsia="zh-CN"/>
        </w:rPr>
        <w:t>储罐区</w:t>
      </w:r>
      <w:r>
        <w:rPr>
          <w:rFonts w:hint="default" w:ascii="Times New Roman" w:hAnsi="Times New Roman" w:cs="Times New Roman"/>
          <w:color w:val="auto"/>
          <w:highlight w:val="none"/>
        </w:rPr>
        <w:t>围堰、导流沟等设置，危险废物暂存间按照《危险废物贮存污染控制标准》规范建设围堰及导流沟、收集池等；完善突发火灾事故洗消废水应急收集、处置措施，确保事故性废水纳入事故应急池。</w:t>
      </w:r>
    </w:p>
    <w:p>
      <w:pPr>
        <w:pStyle w:val="5"/>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厂区雨水总排口安装截断阀门，并处于常闭状态，以防止发生火灾事故的情况下消防废水通过雨水管网流出厂区，同时设置消防废水导排设施将厂区的事故消防水自收集渠引至事故废水收集池。</w:t>
      </w:r>
      <w:r>
        <w:rPr>
          <w:rFonts w:hint="default" w:ascii="Times New Roman" w:hAnsi="Times New Roman" w:cs="Times New Roman"/>
          <w:color w:val="auto"/>
          <w:highlight w:val="none"/>
          <w:lang w:val="en-US" w:eastAsia="zh-CN"/>
        </w:rPr>
        <w:t>定期对排水系统隐患进行排查。</w:t>
      </w:r>
    </w:p>
    <w:p>
      <w:pPr>
        <w:pStyle w:val="5"/>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依托现有</w:t>
      </w:r>
      <w:r>
        <w:rPr>
          <w:rFonts w:hint="default" w:ascii="Times New Roman" w:hAnsi="Times New Roman" w:cs="Times New Roman"/>
          <w:color w:val="auto"/>
          <w:highlight w:val="none"/>
        </w:rPr>
        <w:t>事故应急池</w:t>
      </w:r>
      <w:r>
        <w:rPr>
          <w:rFonts w:hint="eastAsia" w:cs="Times New Roman"/>
          <w:color w:val="auto"/>
          <w:highlight w:val="none"/>
          <w:lang w:val="en-US" w:eastAsia="zh-CN"/>
        </w:rPr>
        <w:t>可行性分析</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项目事故应急池根据《事故状态下水体污染的预防与控制技术要求》(Q/SY08190-2019</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和《消防给水及消火栓系统技术规范》（GB50974-2014）中的相关规定设置。事故应急池主要用于区内发生事故或火灾时，控制、收集和存放污染事故水（包括污染雨水）及污染消防水。事故应急水池容量按下式计算：</w:t>
      </w:r>
    </w:p>
    <w:p>
      <w:pPr>
        <w:adjustRightInd w:val="0"/>
        <w:snapToGrid w:val="0"/>
        <w:spacing w:line="360" w:lineRule="auto"/>
        <w:ind w:firstLine="480" w:firstLineChars="200"/>
        <w:jc w:val="center"/>
        <w:rPr>
          <w:rFonts w:hint="default" w:ascii="Times New Roman" w:hAnsi="Times New Roman" w:cs="Times New Roman"/>
          <w:color w:val="auto"/>
          <w:sz w:val="24"/>
          <w:highlight w:val="none"/>
          <w:vertAlign w:val="subscript"/>
        </w:rPr>
      </w:pPr>
      <w:r>
        <w:rPr>
          <w:rFonts w:hint="default" w:ascii="Times New Roman" w:hAnsi="Times New Roman" w:cs="Times New Roman"/>
          <w:color w:val="auto"/>
          <w:sz w:val="24"/>
          <w:highlight w:val="none"/>
        </w:rPr>
        <w:t>V</w:t>
      </w:r>
      <w:r>
        <w:rPr>
          <w:rFonts w:hint="default" w:ascii="Times New Roman" w:hAnsi="Times New Roman" w:cs="Times New Roman"/>
          <w:color w:val="auto"/>
          <w:sz w:val="24"/>
          <w:highlight w:val="none"/>
          <w:vertAlign w:val="subscript"/>
        </w:rPr>
        <w:t>总</w:t>
      </w:r>
      <w:r>
        <w:rPr>
          <w:rFonts w:hint="default" w:ascii="Times New Roman" w:hAnsi="Times New Roman" w:cs="Times New Roman"/>
          <w:color w:val="auto"/>
          <w:sz w:val="24"/>
          <w:highlight w:val="none"/>
        </w:rPr>
        <w:t>=（V</w:t>
      </w:r>
      <w:r>
        <w:rPr>
          <w:rFonts w:hint="default" w:ascii="Times New Roman" w:hAnsi="Times New Roman" w:cs="Times New Roman"/>
          <w:color w:val="auto"/>
          <w:sz w:val="24"/>
          <w:highlight w:val="none"/>
          <w:vertAlign w:val="subscript"/>
        </w:rPr>
        <w:t>1</w:t>
      </w:r>
      <w:r>
        <w:rPr>
          <w:rFonts w:hint="default" w:ascii="Times New Roman" w:hAnsi="Times New Roman" w:cs="Times New Roman"/>
          <w:color w:val="auto"/>
          <w:sz w:val="24"/>
          <w:highlight w:val="none"/>
        </w:rPr>
        <w:t>+V</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-V</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vertAlign w:val="subscript"/>
        </w:rPr>
        <w:t>max</w:t>
      </w:r>
      <w:r>
        <w:rPr>
          <w:rFonts w:hint="default" w:ascii="Times New Roman" w:hAnsi="Times New Roman" w:cs="Times New Roman"/>
          <w:color w:val="auto"/>
          <w:sz w:val="24"/>
          <w:highlight w:val="none"/>
        </w:rPr>
        <w:t>+V</w:t>
      </w:r>
      <w:r>
        <w:rPr>
          <w:rFonts w:hint="default" w:ascii="Times New Roman" w:hAnsi="Times New Roman" w:cs="Times New Roman"/>
          <w:color w:val="auto"/>
          <w:sz w:val="24"/>
          <w:highlight w:val="none"/>
          <w:vertAlign w:val="subscript"/>
        </w:rPr>
        <w:t>4</w:t>
      </w:r>
      <w:r>
        <w:rPr>
          <w:rFonts w:hint="default" w:ascii="Times New Roman" w:hAnsi="Times New Roman" w:cs="Times New Roman"/>
          <w:color w:val="auto"/>
          <w:sz w:val="24"/>
          <w:highlight w:val="none"/>
        </w:rPr>
        <w:t>+V</w:t>
      </w:r>
      <w:r>
        <w:rPr>
          <w:rFonts w:hint="default" w:ascii="Times New Roman" w:hAnsi="Times New Roman" w:cs="Times New Roman"/>
          <w:color w:val="auto"/>
          <w:sz w:val="24"/>
          <w:highlight w:val="none"/>
          <w:vertAlign w:val="subscript"/>
        </w:rPr>
        <w:t>5</w:t>
      </w:r>
    </w:p>
    <w:p>
      <w:pPr>
        <w:autoSpaceDE w:val="0"/>
        <w:autoSpaceDN w:val="0"/>
        <w:spacing w:line="360" w:lineRule="auto"/>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r>
        <w:rPr>
          <w:rFonts w:hint="default" w:ascii="Times New Roman" w:hAnsi="Times New Roman" w:cs="Times New Roman"/>
          <w:i/>
          <w:color w:val="auto"/>
          <w:sz w:val="24"/>
          <w:highlight w:val="none"/>
        </w:rPr>
        <w:t>V</w:t>
      </w:r>
      <w:r>
        <w:rPr>
          <w:rFonts w:hint="default" w:ascii="Times New Roman" w:hAnsi="Times New Roman" w:cs="Times New Roman"/>
          <w:i/>
          <w:color w:val="auto"/>
          <w:sz w:val="24"/>
          <w:highlight w:val="none"/>
          <w:vertAlign w:val="subscript"/>
        </w:rPr>
        <w:t>1</w:t>
      </w:r>
      <w:r>
        <w:rPr>
          <w:rFonts w:hint="default" w:ascii="Times New Roman" w:hAnsi="Times New Roman" w:cs="Times New Roman"/>
          <w:i/>
          <w:color w:val="auto"/>
          <w:sz w:val="24"/>
          <w:highlight w:val="none"/>
        </w:rPr>
        <w:t>+ V</w:t>
      </w:r>
      <w:r>
        <w:rPr>
          <w:rFonts w:hint="default" w:ascii="Times New Roman" w:hAnsi="Times New Roman" w:cs="Times New Roman"/>
          <w:i/>
          <w:color w:val="auto"/>
          <w:sz w:val="24"/>
          <w:highlight w:val="none"/>
          <w:vertAlign w:val="subscript"/>
        </w:rPr>
        <w:t>2</w:t>
      </w:r>
      <w:r>
        <w:rPr>
          <w:rFonts w:hint="default" w:ascii="Times New Roman" w:hAnsi="Times New Roman" w:cs="Times New Roman"/>
          <w:i/>
          <w:color w:val="auto"/>
          <w:sz w:val="24"/>
          <w:highlight w:val="none"/>
        </w:rPr>
        <w:t>-V</w:t>
      </w:r>
      <w:r>
        <w:rPr>
          <w:rFonts w:hint="default" w:ascii="Times New Roman" w:hAnsi="Times New Roman" w:cs="Times New Roman"/>
          <w:i/>
          <w:color w:val="auto"/>
          <w:sz w:val="24"/>
          <w:highlight w:val="none"/>
          <w:vertAlign w:val="subscript"/>
        </w:rPr>
        <w:t>3</w:t>
      </w:r>
      <w:r>
        <w:rPr>
          <w:rFonts w:hint="default" w:ascii="Times New Roman" w:hAnsi="Times New Roman" w:cs="Times New Roman"/>
          <w:color w:val="auto"/>
          <w:sz w:val="24"/>
          <w:highlight w:val="none"/>
        </w:rPr>
        <w:t>）</w:t>
      </w:r>
      <w:r>
        <w:rPr>
          <w:rFonts w:hint="default" w:ascii="Times New Roman" w:hAnsi="Times New Roman" w:cs="Times New Roman"/>
          <w:i/>
          <w:color w:val="auto"/>
          <w:sz w:val="24"/>
          <w:highlight w:val="none"/>
          <w:vertAlign w:val="subscript"/>
        </w:rPr>
        <w:t>max</w:t>
      </w:r>
      <w:r>
        <w:rPr>
          <w:rFonts w:hint="default" w:ascii="Times New Roman" w:hAnsi="Times New Roman" w:cs="Times New Roman"/>
          <w:color w:val="auto"/>
          <w:sz w:val="24"/>
          <w:highlight w:val="none"/>
        </w:rPr>
        <w:t>——指对收集系统范围内不同罐组或装置分别计算</w:t>
      </w:r>
      <w:r>
        <w:rPr>
          <w:rFonts w:hint="default" w:ascii="Times New Roman" w:hAnsi="Times New Roman" w:cs="Times New Roman"/>
          <w:i/>
          <w:color w:val="auto"/>
          <w:sz w:val="24"/>
          <w:highlight w:val="none"/>
        </w:rPr>
        <w:t>V</w:t>
      </w:r>
      <w:r>
        <w:rPr>
          <w:rFonts w:hint="default" w:ascii="Times New Roman" w:hAnsi="Times New Roman" w:cs="Times New Roman"/>
          <w:i/>
          <w:color w:val="auto"/>
          <w:sz w:val="24"/>
          <w:highlight w:val="none"/>
          <w:vertAlign w:val="subscript"/>
        </w:rPr>
        <w:t>1</w:t>
      </w:r>
      <w:r>
        <w:rPr>
          <w:rFonts w:hint="default" w:ascii="Times New Roman" w:hAnsi="Times New Roman" w:cs="Times New Roman"/>
          <w:i/>
          <w:color w:val="auto"/>
          <w:sz w:val="24"/>
          <w:highlight w:val="none"/>
        </w:rPr>
        <w:t>+ V</w:t>
      </w:r>
      <w:r>
        <w:rPr>
          <w:rFonts w:hint="default" w:ascii="Times New Roman" w:hAnsi="Times New Roman" w:cs="Times New Roman"/>
          <w:i/>
          <w:color w:val="auto"/>
          <w:sz w:val="24"/>
          <w:highlight w:val="none"/>
          <w:vertAlign w:val="subscript"/>
        </w:rPr>
        <w:t>2</w:t>
      </w:r>
      <w:r>
        <w:rPr>
          <w:rFonts w:hint="default" w:ascii="Times New Roman" w:hAnsi="Times New Roman" w:cs="Times New Roman"/>
          <w:i/>
          <w:color w:val="auto"/>
          <w:sz w:val="24"/>
          <w:highlight w:val="none"/>
        </w:rPr>
        <w:t>-V</w:t>
      </w:r>
      <w:r>
        <w:rPr>
          <w:rFonts w:hint="default" w:ascii="Times New Roman" w:hAnsi="Times New Roman" w:cs="Times New Roman"/>
          <w:i/>
          <w:color w:val="auto"/>
          <w:sz w:val="24"/>
          <w:highlight w:val="none"/>
          <w:vertAlign w:val="subscript"/>
        </w:rPr>
        <w:t>3</w:t>
      </w:r>
      <w:r>
        <w:rPr>
          <w:rFonts w:hint="default" w:ascii="Times New Roman" w:hAnsi="Times New Roman" w:cs="Times New Roman"/>
          <w:color w:val="auto"/>
          <w:sz w:val="24"/>
          <w:highlight w:val="none"/>
        </w:rPr>
        <w:t>，取其中最大值；</w:t>
      </w:r>
    </w:p>
    <w:p>
      <w:pPr>
        <w:autoSpaceDE w:val="0"/>
        <w:autoSpaceDN w:val="0"/>
        <w:spacing w:line="360" w:lineRule="auto"/>
        <w:ind w:firstLine="720" w:firstLineChars="300"/>
        <w:textAlignment w:val="baseline"/>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V</w:t>
      </w:r>
      <w:r>
        <w:rPr>
          <w:rFonts w:hint="default" w:ascii="Times New Roman" w:hAnsi="Times New Roman" w:cs="Times New Roman"/>
          <w:i/>
          <w:color w:val="auto"/>
          <w:sz w:val="24"/>
          <w:highlight w:val="none"/>
          <w:vertAlign w:val="subscript"/>
        </w:rPr>
        <w:t>1</w:t>
      </w:r>
      <w:r>
        <w:rPr>
          <w:rFonts w:hint="default" w:ascii="Times New Roman" w:hAnsi="Times New Roman" w:cs="Times New Roman"/>
          <w:color w:val="auto"/>
          <w:sz w:val="24"/>
          <w:highlight w:val="none"/>
        </w:rPr>
        <w:t xml:space="preserve"> ——收集系统范围内发生事故的一个罐组或一套装置的物料量，m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；本项目</w:t>
      </w:r>
      <w:r>
        <w:rPr>
          <w:rFonts w:hint="default" w:ascii="Times New Roman" w:hAnsi="Times New Roman" w:cs="Times New Roman"/>
          <w:color w:val="auto"/>
          <w:sz w:val="24"/>
          <w:highlight w:val="none"/>
          <w:lang w:val="en-US" w:eastAsia="zh-CN"/>
        </w:rPr>
        <w:t>危险物质最大容积罐为DMF废水罐，150t，其物料装载量以储罐容积的8</w:t>
      </w:r>
      <w:r>
        <w:rPr>
          <w:rFonts w:hint="eastAsia" w:cs="Times New Roman"/>
          <w:color w:val="auto"/>
          <w:sz w:val="24"/>
          <w:highlight w:val="none"/>
          <w:lang w:val="en-US" w:eastAsia="zh-CN"/>
        </w:rPr>
        <w:t>0</w:t>
      </w:r>
      <w:r>
        <w:rPr>
          <w:rFonts w:hint="default" w:ascii="Times New Roman" w:hAnsi="Times New Roman" w:cs="Times New Roman"/>
          <w:color w:val="auto"/>
          <w:sz w:val="24"/>
          <w:highlight w:val="none"/>
          <w:lang w:val="en-US" w:eastAsia="zh-CN"/>
        </w:rPr>
        <w:t>%计，为12</w:t>
      </w:r>
      <w:r>
        <w:rPr>
          <w:rFonts w:hint="eastAsia" w:cs="Times New Roman"/>
          <w:color w:val="auto"/>
          <w:sz w:val="24"/>
          <w:highlight w:val="none"/>
          <w:lang w:val="en-US" w:eastAsia="zh-CN"/>
        </w:rPr>
        <w:t>0</w:t>
      </w:r>
      <w:r>
        <w:rPr>
          <w:rFonts w:hint="default" w:ascii="Times New Roman" w:hAnsi="Times New Roman" w:cs="Times New Roman"/>
          <w:color w:val="auto"/>
          <w:sz w:val="24"/>
          <w:highlight w:val="none"/>
          <w:lang w:val="en-US" w:eastAsia="zh-CN"/>
        </w:rPr>
        <w:t>t</w:t>
      </w:r>
      <w:r>
        <w:rPr>
          <w:rFonts w:hint="default" w:ascii="Times New Roman" w:hAnsi="Times New Roman" w:cs="Times New Roman"/>
          <w:color w:val="auto"/>
          <w:sz w:val="24"/>
          <w:highlight w:val="none"/>
        </w:rPr>
        <w:t>。</w:t>
      </w:r>
    </w:p>
    <w:p>
      <w:pPr>
        <w:autoSpaceDE w:val="0"/>
        <w:autoSpaceDN w:val="0"/>
        <w:spacing w:line="360" w:lineRule="auto"/>
        <w:ind w:firstLine="720" w:firstLineChars="300"/>
        <w:textAlignment w:val="baseline"/>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V</w:t>
      </w:r>
      <w:r>
        <w:rPr>
          <w:rFonts w:hint="default" w:ascii="Times New Roman" w:hAnsi="Times New Roman" w:cs="Times New Roman"/>
          <w:i/>
          <w:color w:val="auto"/>
          <w:sz w:val="24"/>
          <w:highlight w:val="none"/>
          <w:vertAlign w:val="subscript"/>
        </w:rPr>
        <w:t>2</w:t>
      </w:r>
      <w:r>
        <w:rPr>
          <w:rFonts w:hint="default" w:ascii="Times New Roman" w:hAnsi="Times New Roman" w:cs="Times New Roman"/>
          <w:color w:val="auto"/>
          <w:sz w:val="24"/>
          <w:highlight w:val="none"/>
        </w:rPr>
        <w:t>——发生事故的储罐或装置的消防水量，m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；根据《建筑设计防火规范》( GB50016-2014) (2018 修订版</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《消防给水及消火栓系统技术规范》(GB50974-2014)，</w:t>
      </w:r>
      <w:r>
        <w:rPr>
          <w:rFonts w:hint="default" w:ascii="Times New Roman" w:hAnsi="Times New Roman" w:cs="Times New Roman"/>
          <w:color w:val="auto"/>
          <w:sz w:val="24"/>
          <w:highlight w:val="none"/>
          <w:lang w:val="en-US" w:eastAsia="zh-CN"/>
        </w:rPr>
        <w:t>储罐区</w:t>
      </w:r>
      <w:r>
        <w:rPr>
          <w:rFonts w:hint="default" w:ascii="Times New Roman" w:hAnsi="Times New Roman" w:cs="Times New Roman"/>
          <w:color w:val="auto"/>
          <w:sz w:val="24"/>
          <w:highlight w:val="none"/>
        </w:rPr>
        <w:t>消防栓设计流量以15L/s计，则事故情况下一旦发生火灾，事故时间以</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h计，则消防</w:t>
      </w:r>
      <w:r>
        <w:rPr>
          <w:rFonts w:hint="default" w:ascii="Times New Roman" w:hAnsi="Times New Roman" w:cs="Times New Roman"/>
          <w:color w:val="auto"/>
          <w:sz w:val="24"/>
          <w:highlight w:val="none"/>
          <w:lang w:val="en-US" w:eastAsia="zh-CN"/>
        </w:rPr>
        <w:t>一次</w:t>
      </w:r>
      <w:r>
        <w:rPr>
          <w:rFonts w:hint="default" w:ascii="Times New Roman" w:hAnsi="Times New Roman" w:cs="Times New Roman"/>
          <w:color w:val="auto"/>
          <w:sz w:val="24"/>
          <w:highlight w:val="none"/>
        </w:rPr>
        <w:t>用水量为V</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62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p>
    <w:p>
      <w:pPr>
        <w:autoSpaceDE w:val="0"/>
        <w:autoSpaceDN w:val="0"/>
        <w:spacing w:line="360" w:lineRule="auto"/>
        <w:ind w:firstLine="720" w:firstLineChars="300"/>
        <w:textAlignment w:val="baseline"/>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V</w:t>
      </w:r>
      <w:r>
        <w:rPr>
          <w:rFonts w:hint="default" w:ascii="Times New Roman" w:hAnsi="Times New Roman" w:cs="Times New Roman"/>
          <w:i/>
          <w:color w:val="auto"/>
          <w:sz w:val="24"/>
          <w:highlight w:val="none"/>
          <w:vertAlign w:val="subscript"/>
        </w:rPr>
        <w:t xml:space="preserve">3 </w:t>
      </w:r>
      <w:r>
        <w:rPr>
          <w:rFonts w:hint="default" w:ascii="Times New Roman" w:hAnsi="Times New Roman" w:cs="Times New Roman"/>
          <w:color w:val="auto"/>
          <w:sz w:val="24"/>
          <w:highlight w:val="none"/>
        </w:rPr>
        <w:t>——发生事故时可以转输到其他储存或处理设施的物料量，m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；项目围堰</w:t>
      </w:r>
      <w:r>
        <w:rPr>
          <w:rFonts w:hint="default" w:ascii="Times New Roman" w:hAnsi="Times New Roman" w:cs="Times New Roman"/>
          <w:color w:val="auto"/>
          <w:sz w:val="24"/>
          <w:highlight w:val="none"/>
          <w:lang w:val="en-US" w:eastAsia="zh-CN"/>
        </w:rPr>
        <w:t>总容积约</w:t>
      </w:r>
      <w:r>
        <w:rPr>
          <w:rFonts w:hint="default" w:ascii="Times New Roman" w:hAnsi="Times New Roman" w:cs="Times New Roman"/>
          <w:color w:val="auto"/>
          <w:sz w:val="24"/>
          <w:highlight w:val="none"/>
        </w:rPr>
        <w:t>为</w:t>
      </w:r>
      <w:r>
        <w:rPr>
          <w:rFonts w:hint="default" w:ascii="Times New Roman" w:hAnsi="Times New Roman" w:cs="Times New Roman"/>
          <w:color w:val="auto"/>
          <w:sz w:val="24"/>
          <w:highlight w:val="none"/>
          <w:lang w:val="en-US" w:eastAsia="zh-CN"/>
        </w:rPr>
        <w:t>200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rPr>
        <w:t>。</w:t>
      </w:r>
    </w:p>
    <w:p>
      <w:pPr>
        <w:autoSpaceDE w:val="0"/>
        <w:autoSpaceDN w:val="0"/>
        <w:spacing w:line="360" w:lineRule="auto"/>
        <w:ind w:firstLine="720" w:firstLineChars="300"/>
        <w:textAlignment w:val="baseline"/>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V</w:t>
      </w:r>
      <w:r>
        <w:rPr>
          <w:rFonts w:hint="default" w:ascii="Times New Roman" w:hAnsi="Times New Roman" w:cs="Times New Roman"/>
          <w:i/>
          <w:color w:val="auto"/>
          <w:sz w:val="24"/>
          <w:highlight w:val="none"/>
          <w:vertAlign w:val="subscript"/>
        </w:rPr>
        <w:t>4</w:t>
      </w:r>
      <w:r>
        <w:rPr>
          <w:rFonts w:hint="default" w:ascii="Times New Roman" w:hAnsi="Times New Roman" w:cs="Times New Roman"/>
          <w:color w:val="auto"/>
          <w:sz w:val="24"/>
          <w:highlight w:val="none"/>
        </w:rPr>
        <w:t>——发生事故时仍必须进入该收集系统的生产废水量，m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；本项目</w:t>
      </w:r>
      <w:r>
        <w:rPr>
          <w:rFonts w:hint="default" w:ascii="Times New Roman" w:hAnsi="Times New Roman" w:cs="Times New Roman"/>
          <w:color w:val="auto"/>
          <w:sz w:val="24"/>
          <w:highlight w:val="none"/>
          <w:lang w:val="en-US" w:eastAsia="zh-CN"/>
        </w:rPr>
        <w:t>冷凝水储存于回用水储罐内</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因此V</w:t>
      </w:r>
      <w:r>
        <w:rPr>
          <w:rFonts w:hint="default" w:ascii="Times New Roman" w:hAnsi="Times New Roman" w:cs="Times New Roman"/>
          <w:color w:val="auto"/>
          <w:sz w:val="24"/>
          <w:highlight w:val="none"/>
          <w:vertAlign w:val="subscript"/>
          <w:lang w:val="en-US" w:eastAsia="zh-CN"/>
        </w:rPr>
        <w:t>4</w:t>
      </w:r>
      <w:r>
        <w:rPr>
          <w:rFonts w:hint="default" w:ascii="Times New Roman" w:hAnsi="Times New Roman" w:cs="Times New Roman"/>
          <w:color w:val="auto"/>
          <w:sz w:val="24"/>
          <w:highlight w:val="none"/>
          <w:vertAlign w:val="baseline"/>
          <w:lang w:val="en-US" w:eastAsia="zh-CN"/>
        </w:rPr>
        <w:t>以0计</w:t>
      </w:r>
      <w:r>
        <w:rPr>
          <w:rFonts w:hint="default" w:ascii="Times New Roman" w:hAnsi="Times New Roman" w:cs="Times New Roman"/>
          <w:color w:val="auto"/>
          <w:sz w:val="24"/>
          <w:highlight w:val="none"/>
        </w:rPr>
        <w:t>。</w:t>
      </w:r>
    </w:p>
    <w:p>
      <w:pPr>
        <w:spacing w:line="360" w:lineRule="auto"/>
        <w:ind w:firstLine="720" w:firstLineChars="300"/>
        <w:rPr>
          <w:rFonts w:hint="default" w:ascii="Times New Roman" w:hAnsi="Times New Roman" w:cs="Times New Roman"/>
          <w:color w:val="auto"/>
          <w:sz w:val="24"/>
          <w:szCs w:val="21"/>
          <w:highlight w:val="none"/>
          <w:lang w:bidi="ar"/>
        </w:rPr>
      </w:pPr>
      <w:r>
        <w:rPr>
          <w:rFonts w:hint="default" w:ascii="Times New Roman" w:hAnsi="Times New Roman" w:cs="Times New Roman"/>
          <w:i/>
          <w:color w:val="auto"/>
          <w:sz w:val="24"/>
          <w:highlight w:val="none"/>
        </w:rPr>
        <w:t>V</w:t>
      </w:r>
      <w:r>
        <w:rPr>
          <w:rFonts w:hint="default" w:ascii="Times New Roman" w:hAnsi="Times New Roman" w:cs="Times New Roman"/>
          <w:i/>
          <w:color w:val="auto"/>
          <w:sz w:val="24"/>
          <w:highlight w:val="none"/>
          <w:vertAlign w:val="subscript"/>
        </w:rPr>
        <w:t>5</w:t>
      </w:r>
      <w:r>
        <w:rPr>
          <w:rFonts w:hint="default" w:ascii="Times New Roman" w:hAnsi="Times New Roman" w:cs="Times New Roman"/>
          <w:color w:val="auto"/>
          <w:sz w:val="24"/>
          <w:highlight w:val="none"/>
        </w:rPr>
        <w:t xml:space="preserve"> ——</w:t>
      </w:r>
      <w:r>
        <w:rPr>
          <w:rFonts w:hint="default" w:ascii="Times New Roman" w:hAnsi="Times New Roman" w:cs="Times New Roman"/>
          <w:color w:val="auto"/>
          <w:sz w:val="24"/>
          <w:szCs w:val="21"/>
          <w:highlight w:val="none"/>
          <w:lang w:bidi="ar"/>
        </w:rPr>
        <w:t>发生事故时可能进入该废水收集系统的最大降雨量。</w:t>
      </w:r>
    </w:p>
    <w:p>
      <w:pPr>
        <w:widowControl w:val="0"/>
        <w:adjustRightInd w:val="0"/>
        <w:spacing w:line="360" w:lineRule="auto"/>
        <w:ind w:firstLine="480" w:firstLineChars="20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kern w:val="2"/>
          <w:sz w:val="24"/>
          <w:szCs w:val="24"/>
          <w:highlight w:val="none"/>
          <w:lang w:val="en-US" w:eastAsia="zh-CN" w:bidi="ar-SA"/>
        </w:rPr>
        <w:t>V</w:t>
      </w:r>
      <w:r>
        <w:rPr>
          <w:rFonts w:hint="default" w:ascii="Times New Roman" w:hAnsi="Times New Roman" w:cs="Times New Roman"/>
          <w:color w:val="auto"/>
          <w:kern w:val="2"/>
          <w:sz w:val="24"/>
          <w:szCs w:val="24"/>
          <w:highlight w:val="none"/>
          <w:vertAlign w:val="subscript"/>
          <w:lang w:val="en-US" w:eastAsia="zh-CN" w:bidi="ar-SA"/>
        </w:rPr>
        <w:t>5</w:t>
      </w:r>
      <w:r>
        <w:rPr>
          <w:rFonts w:hint="default" w:ascii="Times New Roman" w:hAnsi="Times New Roman" w:cs="Times New Roman"/>
          <w:color w:val="auto"/>
          <w:kern w:val="2"/>
          <w:sz w:val="24"/>
          <w:szCs w:val="24"/>
          <w:highlight w:val="none"/>
          <w:vertAlign w:val="baseline"/>
          <w:lang w:val="en-US" w:eastAsia="zh-CN" w:bidi="ar-SA"/>
        </w:rPr>
        <w:t>=10qf</w:t>
      </w:r>
    </w:p>
    <w:p>
      <w:pPr>
        <w:widowControl w:val="0"/>
        <w:adjustRightInd w:val="0"/>
        <w:spacing w:line="360" w:lineRule="auto"/>
        <w:ind w:firstLine="480" w:firstLineChars="200"/>
        <w:jc w:val="center"/>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q=qa/n</w:t>
      </w:r>
    </w:p>
    <w:p>
      <w:pPr>
        <w:widowControl w:val="0"/>
        <w:adjustRightInd w:val="0"/>
        <w:spacing w:line="360" w:lineRule="auto"/>
        <w:ind w:left="0" w:leftChars="0" w:firstLine="0" w:firstLineChars="0"/>
        <w:jc w:val="both"/>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式中：</w:t>
      </w:r>
      <w:r>
        <w:rPr>
          <w:rFonts w:hint="default" w:ascii="Times New Roman" w:hAnsi="Times New Roman" w:cs="Times New Roman"/>
          <w:bCs/>
          <w:i/>
          <w:iCs/>
          <w:color w:val="auto"/>
          <w:sz w:val="24"/>
          <w:highlight w:val="none"/>
        </w:rPr>
        <w:t>q</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降雨</w:t>
      </w:r>
      <w:r>
        <w:rPr>
          <w:rFonts w:hint="default" w:ascii="Times New Roman" w:hAnsi="Times New Roman" w:cs="Times New Roman"/>
          <w:bCs/>
          <w:color w:val="auto"/>
          <w:sz w:val="24"/>
          <w:highlight w:val="none"/>
        </w:rPr>
        <w:t>强度，</w:t>
      </w:r>
      <w:r>
        <w:rPr>
          <w:rFonts w:hint="default" w:ascii="Times New Roman" w:hAnsi="Times New Roman" w:cs="Times New Roman"/>
          <w:bCs/>
          <w:color w:val="auto"/>
          <w:sz w:val="24"/>
          <w:highlight w:val="none"/>
          <w:lang w:val="en-US" w:eastAsia="zh-CN"/>
        </w:rPr>
        <w:t>按日均降雨量，mm</w:t>
      </w:r>
      <w:r>
        <w:rPr>
          <w:rFonts w:hint="default" w:ascii="Times New Roman" w:hAnsi="Times New Roman" w:cs="Times New Roman"/>
          <w:bCs/>
          <w:color w:val="auto"/>
          <w:sz w:val="24"/>
          <w:highlight w:val="none"/>
        </w:rPr>
        <w:t>；</w:t>
      </w:r>
    </w:p>
    <w:p>
      <w:pPr>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 xml:space="preserve">  </w:t>
      </w:r>
      <w:r>
        <w:rPr>
          <w:rFonts w:hint="default" w:ascii="Times New Roman" w:hAnsi="Times New Roman" w:cs="Times New Roman"/>
          <w:bCs/>
          <w:color w:val="auto"/>
          <w:sz w:val="24"/>
          <w:highlight w:val="none"/>
          <w:lang w:val="en-US" w:eastAsia="zh-CN"/>
        </w:rPr>
        <w:t>qa</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年平均降雨量，mm</w:t>
      </w:r>
      <w:r>
        <w:rPr>
          <w:rFonts w:hint="default" w:ascii="Times New Roman" w:hAnsi="Times New Roman" w:cs="Times New Roman"/>
          <w:bCs/>
          <w:color w:val="auto"/>
          <w:sz w:val="24"/>
          <w:highlight w:val="none"/>
        </w:rPr>
        <w:t>；</w:t>
      </w:r>
    </w:p>
    <w:p>
      <w:pPr>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 xml:space="preserve">  </w:t>
      </w:r>
      <w:r>
        <w:rPr>
          <w:rFonts w:hint="default" w:ascii="Times New Roman" w:hAnsi="Times New Roman" w:cs="Times New Roman"/>
          <w:bCs/>
          <w:i/>
          <w:iCs/>
          <w:color w:val="auto"/>
          <w:sz w:val="24"/>
          <w:highlight w:val="none"/>
          <w:lang w:val="en-US" w:eastAsia="zh-CN"/>
        </w:rPr>
        <w:t>n</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年平均</w:t>
      </w:r>
      <w:r>
        <w:rPr>
          <w:rFonts w:hint="default" w:ascii="Times New Roman" w:hAnsi="Times New Roman" w:cs="Times New Roman"/>
          <w:bCs/>
          <w:color w:val="auto"/>
          <w:sz w:val="24"/>
          <w:highlight w:val="none"/>
        </w:rPr>
        <w:t>降雨</w:t>
      </w:r>
      <w:r>
        <w:rPr>
          <w:rFonts w:hint="default" w:ascii="Times New Roman" w:hAnsi="Times New Roman" w:cs="Times New Roman"/>
          <w:bCs/>
          <w:color w:val="auto"/>
          <w:sz w:val="24"/>
          <w:highlight w:val="none"/>
          <w:lang w:val="en-US" w:eastAsia="zh-CN"/>
        </w:rPr>
        <w:t>日数</w:t>
      </w:r>
      <w:r>
        <w:rPr>
          <w:rFonts w:hint="default" w:ascii="Times New Roman" w:hAnsi="Times New Roman" w:cs="Times New Roman"/>
          <w:bCs/>
          <w:color w:val="auto"/>
          <w:sz w:val="24"/>
          <w:highlight w:val="none"/>
        </w:rPr>
        <w:t>，</w:t>
      </w:r>
      <w:r>
        <w:rPr>
          <w:rFonts w:hint="default" w:ascii="Times New Roman" w:hAnsi="Times New Roman" w:cs="Times New Roman"/>
          <w:bCs/>
          <w:color w:val="auto"/>
          <w:sz w:val="24"/>
          <w:highlight w:val="none"/>
          <w:lang w:val="en-US" w:eastAsia="zh-CN"/>
        </w:rPr>
        <w:t>d</w:t>
      </w:r>
      <w:r>
        <w:rPr>
          <w:rFonts w:hint="default" w:ascii="Times New Roman" w:hAnsi="Times New Roman" w:cs="Times New Roman"/>
          <w:bCs/>
          <w:color w:val="auto"/>
          <w:sz w:val="24"/>
          <w:highlight w:val="none"/>
        </w:rPr>
        <w:t>；</w:t>
      </w:r>
    </w:p>
    <w:p>
      <w:pPr>
        <w:pStyle w:val="5"/>
        <w:bidi w:val="0"/>
        <w:ind w:firstLine="720" w:firstLineChars="300"/>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lang w:val="en-US" w:eastAsia="zh-CN"/>
        </w:rPr>
        <w:t>F——汇水面积，hm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vertAlign w:val="baseline"/>
          <w:lang w:val="en-US" w:eastAsia="zh-CN"/>
        </w:rPr>
        <w:t>。</w:t>
      </w:r>
    </w:p>
    <w:p>
      <w:pPr>
        <w:pStyle w:val="15"/>
        <w:numPr>
          <w:ilvl w:val="7"/>
          <w:numId w:val="0"/>
        </w:numPr>
        <w:bidi w:val="0"/>
        <w:ind w:left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表7.2-1 事故废水量核算</w:t>
      </w:r>
    </w:p>
    <w:tbl>
      <w:tblPr>
        <w:tblStyle w:val="11"/>
        <w:tblW w:w="906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56"/>
        <w:gridCol w:w="1509"/>
        <w:gridCol w:w="1631"/>
        <w:gridCol w:w="1193"/>
        <w:gridCol w:w="407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65"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类型</w:t>
            </w:r>
          </w:p>
        </w:tc>
        <w:tc>
          <w:tcPr>
            <w:tcW w:w="1631"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分项</w:t>
            </w:r>
          </w:p>
        </w:tc>
        <w:tc>
          <w:tcPr>
            <w:tcW w:w="1193"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水量（m</w:t>
            </w:r>
            <w:r>
              <w:rPr>
                <w:rFonts w:hint="default" w:ascii="Times New Roman" w:hAnsi="Times New Roman"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w:t>
            </w:r>
          </w:p>
        </w:tc>
        <w:tc>
          <w:tcPr>
            <w:tcW w:w="4079"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计算条件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6"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V</w:t>
            </w:r>
            <w:r>
              <w:rPr>
                <w:rFonts w:hint="default" w:ascii="Times New Roman" w:hAnsi="Times New Roman" w:eastAsia="宋体" w:cs="Times New Roman"/>
                <w:color w:val="auto"/>
                <w:kern w:val="0"/>
                <w:position w:val="-2"/>
                <w:sz w:val="21"/>
                <w:szCs w:val="21"/>
                <w:highlight w:val="none"/>
                <w:vertAlign w:val="subscript"/>
                <w:lang w:val="en-US" w:eastAsia="zh-CN" w:bidi="ar-SA"/>
              </w:rPr>
              <w:t>1</w:t>
            </w:r>
          </w:p>
        </w:tc>
        <w:tc>
          <w:tcPr>
            <w:tcW w:w="1509"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物料</w:t>
            </w:r>
          </w:p>
        </w:tc>
        <w:tc>
          <w:tcPr>
            <w:tcW w:w="1631"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罐区最大物料</w:t>
            </w:r>
          </w:p>
        </w:tc>
        <w:tc>
          <w:tcPr>
            <w:tcW w:w="1193"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120</w:t>
            </w:r>
          </w:p>
        </w:tc>
        <w:tc>
          <w:tcPr>
            <w:tcW w:w="4079"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lang w:val="en-US" w:eastAsia="zh-CN" w:bidi="ar-SA"/>
              </w:rPr>
              <w:t>DMF废水储罐容积150t，物料量以8</w:t>
            </w:r>
            <w:r>
              <w:rPr>
                <w:rFonts w:hint="eastAsia" w:cs="Times New Roman"/>
                <w:color w:val="auto"/>
                <w:kern w:val="0"/>
                <w:sz w:val="21"/>
                <w:szCs w:val="21"/>
                <w:highlight w:val="none"/>
                <w:lang w:val="en-US" w:eastAsia="zh-CN" w:bidi="ar-SA"/>
              </w:rPr>
              <w:t>0</w:t>
            </w:r>
            <w:r>
              <w:rPr>
                <w:rFonts w:hint="default" w:ascii="Times New Roman" w:hAnsi="Times New Roman" w:cs="Times New Roman"/>
                <w:color w:val="auto"/>
                <w:kern w:val="0"/>
                <w:sz w:val="21"/>
                <w:szCs w:val="21"/>
                <w:highlight w:val="none"/>
                <w:lang w:val="en-US" w:eastAsia="zh-CN" w:bidi="ar-SA"/>
              </w:rPr>
              <w:t>%计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6"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V</w:t>
            </w:r>
            <w:r>
              <w:rPr>
                <w:rFonts w:hint="default" w:ascii="Times New Roman" w:hAnsi="Times New Roman" w:eastAsia="宋体" w:cs="Times New Roman"/>
                <w:color w:val="auto"/>
                <w:kern w:val="0"/>
                <w:position w:val="-2"/>
                <w:sz w:val="21"/>
                <w:szCs w:val="21"/>
                <w:highlight w:val="none"/>
                <w:vertAlign w:val="subscript"/>
                <w:lang w:val="en-US" w:eastAsia="zh-CN" w:bidi="ar-SA"/>
              </w:rPr>
              <w:t>2</w:t>
            </w:r>
          </w:p>
        </w:tc>
        <w:tc>
          <w:tcPr>
            <w:tcW w:w="1509"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消防水</w:t>
            </w:r>
          </w:p>
        </w:tc>
        <w:tc>
          <w:tcPr>
            <w:tcW w:w="1631"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罐区</w:t>
            </w:r>
          </w:p>
        </w:tc>
        <w:tc>
          <w:tcPr>
            <w:tcW w:w="1193"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162</w:t>
            </w:r>
          </w:p>
        </w:tc>
        <w:tc>
          <w:tcPr>
            <w:tcW w:w="4079"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罐区消防水设计流量为</w:t>
            </w:r>
            <w:r>
              <w:rPr>
                <w:rFonts w:hint="default" w:ascii="Times New Roman" w:hAnsi="Times New Roman" w:cs="Times New Roman"/>
                <w:color w:val="auto"/>
                <w:kern w:val="0"/>
                <w:sz w:val="21"/>
                <w:szCs w:val="21"/>
                <w:highlight w:val="none"/>
                <w:lang w:val="en-US" w:eastAsia="zh-CN" w:bidi="ar-SA"/>
              </w:rPr>
              <w:t>15</w:t>
            </w:r>
            <w:r>
              <w:rPr>
                <w:rFonts w:hint="default" w:ascii="Times New Roman" w:hAnsi="Times New Roman" w:eastAsia="宋体" w:cs="Times New Roman"/>
                <w:color w:val="auto"/>
                <w:kern w:val="0"/>
                <w:sz w:val="21"/>
                <w:szCs w:val="21"/>
                <w:highlight w:val="none"/>
                <w:lang w:val="en-US" w:eastAsia="zh-CN" w:bidi="ar-SA"/>
              </w:rPr>
              <w:t>L/S</w:t>
            </w:r>
            <w:r>
              <w:rPr>
                <w:rFonts w:hint="default" w:ascii="Times New Roman" w:hAnsi="Times New Roman"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火灾时间</w:t>
            </w:r>
            <w:r>
              <w:rPr>
                <w:rFonts w:hint="eastAsia" w:cs="Times New Roman"/>
                <w:color w:val="auto"/>
                <w:kern w:val="0"/>
                <w:sz w:val="21"/>
                <w:szCs w:val="21"/>
                <w:highlight w:val="none"/>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6"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subscript"/>
                <w:lang w:val="en-US" w:eastAsia="zh-CN" w:bidi="ar-SA"/>
              </w:rPr>
            </w:pPr>
            <w:r>
              <w:rPr>
                <w:rFonts w:hint="default" w:ascii="Times New Roman" w:hAnsi="Times New Roman" w:cs="Times New Roman"/>
                <w:color w:val="auto"/>
                <w:kern w:val="0"/>
                <w:sz w:val="21"/>
                <w:szCs w:val="21"/>
                <w:highlight w:val="none"/>
                <w:lang w:val="en-US" w:eastAsia="zh-CN" w:bidi="ar-SA"/>
              </w:rPr>
              <w:t>V</w:t>
            </w:r>
            <w:r>
              <w:rPr>
                <w:rFonts w:hint="default" w:ascii="Times New Roman" w:hAnsi="Times New Roman" w:cs="Times New Roman"/>
                <w:color w:val="auto"/>
                <w:kern w:val="0"/>
                <w:sz w:val="21"/>
                <w:szCs w:val="21"/>
                <w:highlight w:val="none"/>
                <w:vertAlign w:val="subscript"/>
                <w:lang w:val="en-US" w:eastAsia="zh-CN" w:bidi="ar-SA"/>
              </w:rPr>
              <w:t>3</w:t>
            </w:r>
          </w:p>
        </w:tc>
        <w:tc>
          <w:tcPr>
            <w:tcW w:w="1509"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围堰</w:t>
            </w:r>
          </w:p>
        </w:tc>
        <w:tc>
          <w:tcPr>
            <w:tcW w:w="1631"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193"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200</w:t>
            </w:r>
          </w:p>
        </w:tc>
        <w:tc>
          <w:tcPr>
            <w:tcW w:w="4079"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vertAlign w:val="superscript"/>
                <w:lang w:val="en-US" w:eastAsia="zh-CN" w:bidi="ar-SA"/>
              </w:rPr>
            </w:pPr>
            <w:r>
              <w:rPr>
                <w:rFonts w:hint="default" w:ascii="Times New Roman" w:hAnsi="Times New Roman" w:cs="Times New Roman"/>
                <w:color w:val="auto"/>
                <w:kern w:val="0"/>
                <w:sz w:val="21"/>
                <w:szCs w:val="21"/>
                <w:highlight w:val="none"/>
                <w:vertAlign w:val="baseline"/>
                <w:lang w:val="en-US" w:eastAsia="zh-CN" w:bidi="ar-SA"/>
              </w:rPr>
              <w:t>储罐围堰容积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6"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position w:val="2"/>
                <w:sz w:val="21"/>
                <w:szCs w:val="21"/>
                <w:highlight w:val="none"/>
                <w:lang w:val="en-US" w:eastAsia="zh-CN" w:bidi="ar-SA"/>
              </w:rPr>
              <w:t>V</w:t>
            </w:r>
            <w:r>
              <w:rPr>
                <w:rFonts w:hint="default" w:ascii="Times New Roman" w:hAnsi="Times New Roman" w:cs="Times New Roman"/>
                <w:color w:val="auto"/>
                <w:kern w:val="0"/>
                <w:sz w:val="21"/>
                <w:szCs w:val="21"/>
                <w:highlight w:val="none"/>
                <w:vertAlign w:val="subscript"/>
                <w:lang w:val="en-US" w:eastAsia="zh-CN" w:bidi="ar-SA"/>
              </w:rPr>
              <w:t>4</w:t>
            </w:r>
          </w:p>
        </w:tc>
        <w:tc>
          <w:tcPr>
            <w:tcW w:w="1509"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生产废水</w:t>
            </w:r>
          </w:p>
        </w:tc>
        <w:tc>
          <w:tcPr>
            <w:tcW w:w="1631"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193"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0</w:t>
            </w:r>
          </w:p>
        </w:tc>
        <w:tc>
          <w:tcPr>
            <w:tcW w:w="4079"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冷凝水进入回用水储罐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6"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V</w:t>
            </w:r>
            <w:r>
              <w:rPr>
                <w:rFonts w:hint="default" w:ascii="Times New Roman" w:hAnsi="Times New Roman" w:cs="Times New Roman"/>
                <w:color w:val="auto"/>
                <w:kern w:val="0"/>
                <w:position w:val="-2"/>
                <w:sz w:val="21"/>
                <w:szCs w:val="21"/>
                <w:highlight w:val="none"/>
                <w:vertAlign w:val="subscript"/>
                <w:lang w:val="en-US" w:eastAsia="zh-CN" w:bidi="ar-SA"/>
              </w:rPr>
              <w:t>5</w:t>
            </w:r>
          </w:p>
        </w:tc>
        <w:tc>
          <w:tcPr>
            <w:tcW w:w="1509"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降雨量</w:t>
            </w:r>
          </w:p>
        </w:tc>
        <w:tc>
          <w:tcPr>
            <w:tcW w:w="1631"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93"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r>
              <w:rPr>
                <w:rFonts w:hint="eastAsia" w:cs="Times New Roman"/>
                <w:color w:val="auto"/>
                <w:kern w:val="0"/>
                <w:sz w:val="21"/>
                <w:szCs w:val="21"/>
                <w:highlight w:val="none"/>
                <w:lang w:val="en-US" w:eastAsia="zh-CN" w:bidi="ar-SA"/>
              </w:rPr>
              <w:t>09.6</w:t>
            </w:r>
          </w:p>
        </w:tc>
        <w:tc>
          <w:tcPr>
            <w:tcW w:w="4079"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bidi="ar-SA"/>
              </w:rPr>
              <w:t>福鼎市多年平均降雨量约1668.1mm，年平均降水天数112天，</w:t>
            </w:r>
            <w:r>
              <w:rPr>
                <w:rFonts w:hint="default" w:ascii="Times New Roman" w:hAnsi="Times New Roman" w:cs="Times New Roman"/>
                <w:color w:val="auto"/>
                <w:kern w:val="0"/>
                <w:sz w:val="21"/>
                <w:szCs w:val="21"/>
                <w:highlight w:val="none"/>
                <w:vertAlign w:val="baseline"/>
                <w:lang w:val="en-US" w:eastAsia="zh-CN" w:bidi="ar-SA"/>
              </w:rPr>
              <w:t>污染</w:t>
            </w:r>
            <w:r>
              <w:rPr>
                <w:rFonts w:hint="default" w:ascii="Times New Roman" w:hAnsi="Times New Roman" w:eastAsia="宋体" w:cs="Times New Roman"/>
                <w:color w:val="auto"/>
                <w:kern w:val="0"/>
                <w:sz w:val="21"/>
                <w:szCs w:val="21"/>
                <w:highlight w:val="none"/>
                <w:vertAlign w:val="baseline"/>
                <w:lang w:val="en-US" w:eastAsia="zh-CN" w:bidi="ar-SA"/>
              </w:rPr>
              <w:t>区面积为0.</w:t>
            </w:r>
            <w:r>
              <w:rPr>
                <w:rFonts w:hint="eastAsia" w:cs="Times New Roman"/>
                <w:color w:val="auto"/>
                <w:kern w:val="0"/>
                <w:sz w:val="21"/>
                <w:szCs w:val="21"/>
                <w:highlight w:val="none"/>
                <w:vertAlign w:val="baseline"/>
                <w:lang w:val="en-US" w:eastAsia="zh-CN" w:bidi="ar-SA"/>
              </w:rPr>
              <w:t>7358</w:t>
            </w:r>
            <w:r>
              <w:rPr>
                <w:rFonts w:hint="default" w:ascii="Times New Roman" w:hAnsi="Times New Roman" w:eastAsia="宋体" w:cs="Times New Roman"/>
                <w:color w:val="auto"/>
                <w:kern w:val="0"/>
                <w:sz w:val="21"/>
                <w:szCs w:val="21"/>
                <w:highlight w:val="none"/>
                <w:vertAlign w:val="baseline"/>
                <w:lang w:val="en-US" w:eastAsia="zh-CN" w:bidi="ar-SA"/>
              </w:rPr>
              <w:t>ha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6"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合计</w:t>
            </w:r>
          </w:p>
        </w:tc>
        <w:tc>
          <w:tcPr>
            <w:tcW w:w="3140" w:type="dxa"/>
            <w:gridSpan w:val="2"/>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rPr>
              <w:t>V</w:t>
            </w:r>
            <w:r>
              <w:rPr>
                <w:rFonts w:hint="default" w:ascii="Times New Roman" w:hAnsi="Times New Roman" w:eastAsia="宋体" w:cs="Times New Roman"/>
                <w:color w:val="auto"/>
                <w:position w:val="-1"/>
                <w:sz w:val="21"/>
                <w:szCs w:val="21"/>
                <w:highlight w:val="none"/>
              </w:rPr>
              <w:t>事故池</w:t>
            </w:r>
            <w:r>
              <w:rPr>
                <w:rFonts w:hint="default" w:ascii="Times New Roman" w:hAnsi="Times New Roman" w:eastAsia="宋体" w:cs="Times New Roman"/>
                <w:color w:val="auto"/>
                <w:sz w:val="21"/>
                <w:szCs w:val="21"/>
                <w:highlight w:val="none"/>
              </w:rPr>
              <w:t>=(V</w:t>
            </w:r>
            <w:r>
              <w:rPr>
                <w:rFonts w:hint="default" w:ascii="Times New Roman" w:hAnsi="Times New Roman" w:eastAsia="宋体" w:cs="Times New Roman"/>
                <w:color w:val="auto"/>
                <w:position w:val="-2"/>
                <w:sz w:val="21"/>
                <w:szCs w:val="21"/>
                <w:highlight w:val="none"/>
                <w:vertAlign w:val="subscript"/>
              </w:rPr>
              <w:t>1</w:t>
            </w:r>
            <w:r>
              <w:rPr>
                <w:rFonts w:hint="default" w:ascii="Times New Roman" w:hAnsi="Times New Roman" w:eastAsia="宋体" w:cs="Times New Roman"/>
                <w:color w:val="auto"/>
                <w:sz w:val="21"/>
                <w:szCs w:val="21"/>
                <w:highlight w:val="none"/>
              </w:rPr>
              <w:t>+V</w:t>
            </w:r>
            <w:r>
              <w:rPr>
                <w:rFonts w:hint="default" w:ascii="Times New Roman" w:hAnsi="Times New Roman" w:eastAsia="宋体" w:cs="Times New Roman"/>
                <w:color w:val="auto"/>
                <w:position w:val="-2"/>
                <w:sz w:val="21"/>
                <w:szCs w:val="21"/>
                <w:highlight w:val="none"/>
                <w:vertAlign w:val="subscript"/>
              </w:rPr>
              <w:t>2</w:t>
            </w:r>
            <w:r>
              <w:rPr>
                <w:rFonts w:hint="default" w:ascii="Times New Roman" w:hAnsi="Times New Roman" w:eastAsia="宋体" w:cs="Times New Roman"/>
                <w:color w:val="auto"/>
                <w:sz w:val="21"/>
                <w:szCs w:val="21"/>
                <w:highlight w:val="none"/>
              </w:rPr>
              <w:t>+V</w:t>
            </w:r>
            <w:r>
              <w:rPr>
                <w:rFonts w:hint="default" w:ascii="Times New Roman" w:hAnsi="Times New Roman" w:cs="Times New Roman"/>
                <w:color w:val="auto"/>
                <w:position w:val="-1"/>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position w:val="-2"/>
                <w:sz w:val="21"/>
                <w:szCs w:val="21"/>
                <w:highlight w:val="none"/>
                <w:vertAlign w:val="subscript"/>
              </w:rPr>
              <w:t>max</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V</w:t>
            </w:r>
            <w:r>
              <w:rPr>
                <w:rFonts w:hint="default" w:ascii="Times New Roman" w:hAnsi="Times New Roman" w:cs="Times New Roman"/>
                <w:color w:val="auto"/>
                <w:position w:val="-2"/>
                <w:sz w:val="21"/>
                <w:szCs w:val="21"/>
                <w:highlight w:val="none"/>
                <w:vertAlign w:val="subscript"/>
                <w:lang w:val="en-US" w:eastAsia="zh-CN"/>
              </w:rPr>
              <w:t>4</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V</w:t>
            </w:r>
            <w:r>
              <w:rPr>
                <w:rFonts w:hint="default" w:ascii="Times New Roman" w:hAnsi="Times New Roman" w:cs="Times New Roman"/>
                <w:color w:val="auto"/>
                <w:position w:val="-2"/>
                <w:sz w:val="21"/>
                <w:szCs w:val="21"/>
                <w:highlight w:val="none"/>
                <w:vertAlign w:val="subscript"/>
                <w:lang w:val="en-US" w:eastAsia="zh-CN"/>
              </w:rPr>
              <w:t>5</w:t>
            </w:r>
          </w:p>
        </w:tc>
        <w:tc>
          <w:tcPr>
            <w:tcW w:w="1193"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19</w:t>
            </w:r>
            <w:r>
              <w:rPr>
                <w:rFonts w:hint="eastAsia" w:cs="Times New Roman"/>
                <w:color w:val="auto"/>
                <w:kern w:val="0"/>
                <w:sz w:val="21"/>
                <w:szCs w:val="21"/>
                <w:highlight w:val="none"/>
                <w:lang w:val="en-US" w:eastAsia="zh-CN" w:bidi="ar-SA"/>
              </w:rPr>
              <w:t>1.6</w:t>
            </w:r>
          </w:p>
        </w:tc>
        <w:tc>
          <w:tcPr>
            <w:tcW w:w="4079"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r>
    </w:tbl>
    <w:p>
      <w:pPr>
        <w:pStyle w:val="16"/>
        <w:rPr>
          <w:rFonts w:hint="default" w:ascii="Times New Roman" w:hAnsi="Times New Roman" w:cs="Times New Roman"/>
          <w:color w:val="auto"/>
          <w:highlight w:val="none"/>
          <w:lang w:val="en-US" w:eastAsia="zh-CN"/>
        </w:rPr>
      </w:pP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本项目应设置一个容积不小于</w:t>
      </w:r>
      <w:r>
        <w:rPr>
          <w:rFonts w:hint="eastAsia" w:cs="Times New Roman"/>
          <w:color w:val="auto"/>
          <w:sz w:val="24"/>
          <w:highlight w:val="none"/>
          <w:lang w:val="en-US" w:eastAsia="zh-CN"/>
        </w:rPr>
        <w:t>191.6</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事故应急池，</w:t>
      </w:r>
      <w:r>
        <w:rPr>
          <w:rFonts w:hint="default" w:ascii="Times New Roman" w:hAnsi="Times New Roman" w:cs="Times New Roman"/>
          <w:color w:val="auto"/>
          <w:sz w:val="24"/>
          <w:highlight w:val="none"/>
          <w:lang w:val="en-US" w:eastAsia="zh-CN"/>
        </w:rPr>
        <w:t>本项目</w:t>
      </w:r>
      <w:r>
        <w:rPr>
          <w:rFonts w:hint="default" w:ascii="Times New Roman" w:hAnsi="Times New Roman" w:cs="Times New Roman"/>
          <w:color w:val="auto"/>
          <w:sz w:val="24"/>
          <w:highlight w:val="none"/>
        </w:rPr>
        <w:t>事故应急池依托厂区</w:t>
      </w:r>
      <w:r>
        <w:rPr>
          <w:rFonts w:hint="default" w:ascii="Times New Roman" w:hAnsi="Times New Roman" w:cs="Times New Roman"/>
          <w:color w:val="auto"/>
          <w:sz w:val="24"/>
          <w:highlight w:val="none"/>
          <w:lang w:val="en-US" w:eastAsia="zh-CN"/>
        </w:rPr>
        <w:t>北侧</w:t>
      </w:r>
      <w:r>
        <w:rPr>
          <w:rFonts w:hint="default" w:ascii="Times New Roman" w:hAnsi="Times New Roman" w:cs="Times New Roman"/>
          <w:color w:val="auto"/>
          <w:sz w:val="24"/>
          <w:highlight w:val="none"/>
        </w:rPr>
        <w:t>现有地下事故应急池，该事故池位于厂区西北角，容积为2</w:t>
      </w:r>
      <w:r>
        <w:rPr>
          <w:rFonts w:hint="default"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0m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已配备双回路电源的抽水泵站和便携式发电机，</w:t>
      </w:r>
      <w:r>
        <w:rPr>
          <w:rFonts w:hint="eastAsia" w:cs="Times New Roman"/>
          <w:color w:val="auto"/>
          <w:sz w:val="24"/>
          <w:highlight w:val="none"/>
          <w:lang w:val="en-US" w:eastAsia="zh-CN"/>
        </w:rPr>
        <w:t>本项目事故废水依托现有事故应急池可行</w:t>
      </w:r>
      <w:r>
        <w:rPr>
          <w:rFonts w:hint="default" w:ascii="Times New Roman" w:hAnsi="Times New Roman" w:cs="Times New Roman"/>
          <w:color w:val="auto"/>
          <w:sz w:val="24"/>
          <w:highlight w:val="none"/>
        </w:rPr>
        <w:t>。</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本评价要求建设单位根据</w:t>
      </w: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rPr>
        <w:t>情况重新规划设置事故废水收集系统，应实现重力自流方式，确保所有事故废水得到有效收集。一旦发生事故，应立即关闭雨水管道阀门，切断雨水排放口，打开应急池管道阀门，确保消防废水、雨水等能迅速、安全地集中到事故应急池，待事故结束后再行处理。项目雨水管网的总排放口</w:t>
      </w:r>
      <w:r>
        <w:rPr>
          <w:rFonts w:hint="default" w:ascii="Times New Roman" w:hAnsi="Times New Roman" w:cs="Times New Roman"/>
          <w:color w:val="auto"/>
          <w:sz w:val="24"/>
          <w:highlight w:val="none"/>
          <w:lang w:eastAsia="zh-CN"/>
        </w:rPr>
        <w:t>设置</w:t>
      </w:r>
      <w:r>
        <w:rPr>
          <w:rFonts w:hint="default" w:ascii="Times New Roman" w:hAnsi="Times New Roman" w:cs="Times New Roman"/>
          <w:color w:val="auto"/>
          <w:sz w:val="24"/>
          <w:highlight w:val="none"/>
        </w:rPr>
        <w:t>雨水闸阀与应急闸阀，雨水闸阀与园区雨水管网连接，应急闸阀与事故应急池连接；在正常情况下，厂区的雨水管与园区雨水管网接口闸阀处于关闭状态。在发生物料泄漏或火灾事故时，其产生的泄漏物料及消防废水可被事故应急池收集，阻隔污染物排放至外环境。</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事故应急池应按照《工业建筑防腐蚀设计规范》（GB50046-2008）及《石油化工工程防渗技术规范》（GB/T50934-2013）中的一般污染防治区进行防渗设计，防止消防废水、泄漏物料等渗透或泄漏至外环境。</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此外，</w:t>
      </w:r>
      <w:r>
        <w:rPr>
          <w:rFonts w:hint="default" w:ascii="Times New Roman" w:hAnsi="Times New Roman" w:eastAsia="宋体" w:cs="Times New Roman"/>
          <w:snapToGrid w:val="0"/>
          <w:color w:val="auto"/>
          <w:kern w:val="2"/>
          <w:sz w:val="24"/>
          <w:szCs w:val="24"/>
          <w:highlight w:val="none"/>
          <w:lang w:val="en-US" w:eastAsia="zh-CN" w:bidi="ar-SA"/>
        </w:rPr>
        <w:t>参照《水体污染防控紧急措施设计导则》的有关要求，本次环境影响评价针对企业事故废水排放采取</w:t>
      </w:r>
      <w:r>
        <w:rPr>
          <w:rFonts w:hint="default" w:ascii="Times New Roman" w:hAnsi="Times New Roman" w:cs="Times New Roman"/>
          <w:snapToGrid w:val="0"/>
          <w:color w:val="auto"/>
          <w:kern w:val="2"/>
          <w:sz w:val="24"/>
          <w:szCs w:val="24"/>
          <w:highlight w:val="none"/>
          <w:lang w:val="en-US" w:eastAsia="zh-CN" w:bidi="ar-SA"/>
        </w:rPr>
        <w:t>三</w:t>
      </w:r>
      <w:r>
        <w:rPr>
          <w:rFonts w:hint="default" w:ascii="Times New Roman" w:hAnsi="Times New Roman" w:eastAsia="宋体" w:cs="Times New Roman"/>
          <w:snapToGrid w:val="0"/>
          <w:color w:val="auto"/>
          <w:kern w:val="2"/>
          <w:sz w:val="24"/>
          <w:szCs w:val="24"/>
          <w:highlight w:val="none"/>
          <w:lang w:val="en-US" w:eastAsia="zh-CN" w:bidi="ar-SA"/>
        </w:rPr>
        <w:t>级防控措施来杜绝环境风险事故废水排放对外环境造成的污染事件，将污染物控制在储存区、装置区、事故池内。</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①</w:t>
      </w:r>
      <w:r>
        <w:rPr>
          <w:rFonts w:hint="default" w:ascii="Times New Roman" w:hAnsi="Times New Roman" w:cs="Times New Roman"/>
          <w:color w:val="auto"/>
          <w:highlight w:val="none"/>
        </w:rPr>
        <w:t>第一级防控措施</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第一级防控措施位于</w:t>
      </w:r>
      <w:r>
        <w:rPr>
          <w:rFonts w:hint="default" w:ascii="Times New Roman" w:hAnsi="Times New Roman" w:cs="Times New Roman"/>
          <w:color w:val="auto"/>
          <w:highlight w:val="none"/>
          <w:lang w:val="en-US" w:eastAsia="zh-CN"/>
        </w:rPr>
        <w:t>储罐区</w:t>
      </w:r>
      <w:r>
        <w:rPr>
          <w:rFonts w:hint="default" w:ascii="Times New Roman" w:hAnsi="Times New Roman" w:cs="Times New Roman"/>
          <w:color w:val="auto"/>
          <w:highlight w:val="none"/>
        </w:rPr>
        <w:t>及危险废物暂存间内，</w:t>
      </w:r>
      <w:r>
        <w:rPr>
          <w:rFonts w:hint="default" w:ascii="Times New Roman" w:hAnsi="Times New Roman" w:cs="Times New Roman"/>
          <w:color w:val="auto"/>
          <w:highlight w:val="none"/>
          <w:lang w:val="en-US" w:eastAsia="zh-CN"/>
        </w:rPr>
        <w:t>设置围堰和防火堤</w:t>
      </w:r>
      <w:r>
        <w:rPr>
          <w:rFonts w:hint="default" w:ascii="Times New Roman" w:hAnsi="Times New Roman" w:cs="Times New Roman"/>
          <w:color w:val="auto"/>
          <w:highlight w:val="none"/>
        </w:rPr>
        <w:t>。围堰外设置排水切换阀门，将泄漏时的危险物质切换至收集系统，防止污染雨水和轻微事故</w:t>
      </w:r>
      <w:r>
        <w:rPr>
          <w:rFonts w:hint="default" w:ascii="Times New Roman" w:hAnsi="Times New Roman" w:cs="Times New Roman"/>
          <w:color w:val="auto"/>
          <w:highlight w:val="none"/>
          <w:lang w:eastAsia="zh-CN"/>
        </w:rPr>
        <w:t>泄漏</w:t>
      </w:r>
      <w:r>
        <w:rPr>
          <w:rFonts w:hint="default" w:ascii="Times New Roman" w:hAnsi="Times New Roman" w:cs="Times New Roman"/>
          <w:color w:val="auto"/>
          <w:highlight w:val="none"/>
        </w:rPr>
        <w:t>造成污染水环境。</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②</w:t>
      </w:r>
      <w:r>
        <w:rPr>
          <w:rFonts w:hint="default" w:ascii="Times New Roman" w:hAnsi="Times New Roman" w:cs="Times New Roman"/>
          <w:color w:val="auto"/>
          <w:highlight w:val="none"/>
        </w:rPr>
        <w:t>第二级防控措施</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储罐区</w:t>
      </w:r>
      <w:r>
        <w:rPr>
          <w:rFonts w:hint="default" w:ascii="Times New Roman" w:hAnsi="Times New Roman" w:cs="Times New Roman"/>
          <w:color w:val="auto"/>
          <w:highlight w:val="none"/>
        </w:rPr>
        <w:t>外围必须设置连接污水处理系统及雨水池的专用事故池及其阀门切换装置。其将在厂内发生泄漏事故时启切换，通向雨水系统的阀门关闭，通向应急事故池的阀门打开，及时收集污染的雨水及事故废水至污水处理系统。事故应急池为2</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，以满足事故废水的收集及暂存要求。通过第二级防控措施，污染可控制在厂区范围内，避免泄漏污染厂界外环境。</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③第三级防控措施</w:t>
      </w:r>
    </w:p>
    <w:p>
      <w:pPr>
        <w:pStyle w:val="5"/>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第三级防控措施是在企业污水收集池进入厂区污水处理系统处理后在进入文渡工业园区污水管网前建设终端事故池，以储存并调控事故废水，将重大事故泄漏物和污染消防水控制在厂区内，防止其进入企业污水处理厂终端。文渡工业集中区暂未建设公共事故应急池，事故废水三级防控依托福鼎文渡污水处理厂及福鼎市众鑫金属表面处理集控中心污水处理厂进行收集处理。</w:t>
      </w:r>
    </w:p>
    <w:p>
      <w:pPr>
        <w:pStyle w:val="5"/>
        <w:ind w:firstLine="480"/>
        <w:rPr>
          <w:rFonts w:hint="default" w:ascii="Times New Roman" w:hAnsi="Times New Roman" w:eastAsia="宋体" w:cs="Times New Roman"/>
          <w:snapToGrid w:val="0"/>
          <w:color w:val="auto"/>
          <w:kern w:val="2"/>
          <w:sz w:val="24"/>
          <w:szCs w:val="24"/>
          <w:highlight w:val="none"/>
          <w:lang w:val="en-US" w:eastAsia="zh-CN" w:bidi="ar-SA"/>
        </w:rPr>
      </w:pPr>
      <w:r>
        <w:rPr>
          <w:rFonts w:hint="default" w:ascii="Times New Roman" w:hAnsi="Times New Roman" w:eastAsia="宋体" w:cs="Times New Roman"/>
          <w:snapToGrid w:val="0"/>
          <w:color w:val="auto"/>
          <w:kern w:val="2"/>
          <w:sz w:val="24"/>
          <w:szCs w:val="24"/>
          <w:highlight w:val="none"/>
          <w:lang w:val="en-US" w:eastAsia="zh-CN" w:bidi="ar-SA"/>
        </w:rPr>
        <w:t>目前，福鼎市文渡污水处理厂已建5000m</w:t>
      </w:r>
      <w:r>
        <w:rPr>
          <w:rFonts w:hint="default" w:ascii="Times New Roman" w:hAnsi="Times New Roman" w:eastAsia="宋体" w:cs="Times New Roman"/>
          <w:snapToGrid w:val="0"/>
          <w:color w:val="auto"/>
          <w:kern w:val="2"/>
          <w:sz w:val="24"/>
          <w:szCs w:val="24"/>
          <w:highlight w:val="none"/>
          <w:vertAlign w:val="superscript"/>
          <w:lang w:val="en-US" w:eastAsia="zh-CN" w:bidi="ar-SA"/>
        </w:rPr>
        <w:t>3</w:t>
      </w:r>
      <w:r>
        <w:rPr>
          <w:rFonts w:hint="default" w:ascii="Times New Roman" w:hAnsi="Times New Roman" w:eastAsia="宋体" w:cs="Times New Roman"/>
          <w:snapToGrid w:val="0"/>
          <w:color w:val="auto"/>
          <w:kern w:val="2"/>
          <w:sz w:val="24"/>
          <w:szCs w:val="24"/>
          <w:highlight w:val="none"/>
          <w:vertAlign w:val="baseline"/>
          <w:lang w:val="en-US" w:eastAsia="zh-CN" w:bidi="ar-SA"/>
        </w:rPr>
        <w:t>事故应急池，福鼎市众鑫金属表面处理有限公司已建783m</w:t>
      </w:r>
      <w:r>
        <w:rPr>
          <w:rFonts w:hint="default" w:ascii="Times New Roman" w:hAnsi="Times New Roman" w:eastAsia="宋体" w:cs="Times New Roman"/>
          <w:snapToGrid w:val="0"/>
          <w:color w:val="auto"/>
          <w:kern w:val="2"/>
          <w:sz w:val="24"/>
          <w:szCs w:val="24"/>
          <w:highlight w:val="none"/>
          <w:vertAlign w:val="superscript"/>
          <w:lang w:val="en-US" w:eastAsia="zh-CN" w:bidi="ar-SA"/>
        </w:rPr>
        <w:t>3</w:t>
      </w:r>
      <w:r>
        <w:rPr>
          <w:rFonts w:hint="default" w:ascii="Times New Roman" w:hAnsi="Times New Roman" w:eastAsia="宋体" w:cs="Times New Roman"/>
          <w:snapToGrid w:val="0"/>
          <w:color w:val="auto"/>
          <w:kern w:val="2"/>
          <w:sz w:val="24"/>
          <w:szCs w:val="24"/>
          <w:highlight w:val="none"/>
          <w:vertAlign w:val="baseline"/>
          <w:lang w:val="en-US" w:eastAsia="zh-CN" w:bidi="ar-SA"/>
        </w:rPr>
        <w:t>综合废水事故应急池，均配备在线视频监控设备。</w:t>
      </w:r>
      <w:r>
        <w:rPr>
          <w:rFonts w:hint="default" w:ascii="Times New Roman" w:hAnsi="Times New Roman" w:eastAsia="宋体" w:cs="Times New Roman"/>
          <w:snapToGrid w:val="0"/>
          <w:color w:val="auto"/>
          <w:kern w:val="2"/>
          <w:sz w:val="24"/>
          <w:szCs w:val="24"/>
          <w:highlight w:val="none"/>
          <w:lang w:val="en-US" w:eastAsia="zh-CN" w:bidi="ar-SA"/>
        </w:rPr>
        <w:t>当项目事故废水外排时，通过立即与园区污水处理厂联系，切换园区污水管网，使事故废水排入园区污水处理厂事故应急池内暂存，待事故排除后，将事故废水分批排入园区污水处理设施处理，处理合格后外排。因此园区在建成公共事故应急池前，福鼎市文渡污水处理厂的事故应急池可以满足事故废水第三级防控措施的收集暂存要求。</w:t>
      </w:r>
    </w:p>
    <w:p>
      <w:pPr>
        <w:pStyle w:val="2"/>
        <w:numPr>
          <w:ilvl w:val="1"/>
          <w:numId w:val="10"/>
        </w:numPr>
        <w:tabs>
          <w:tab w:val="left" w:pos="420"/>
          <w:tab w:val="clear" w:pos="0"/>
        </w:tabs>
        <w:adjustRightInd w:val="0"/>
        <w:snapToGrid w:val="0"/>
        <w:spacing w:before="240" w:after="240" w:line="240" w:lineRule="auto"/>
        <w:rPr>
          <w:rFonts w:hint="default" w:ascii="Times New Roman" w:hAnsi="Times New Roman" w:cs="Times New Roman"/>
          <w:color w:val="auto"/>
          <w:highlight w:val="none"/>
        </w:rPr>
      </w:pPr>
      <w:r>
        <w:rPr>
          <w:rFonts w:hint="eastAsia" w:cs="Times New Roman"/>
          <w:color w:val="auto"/>
          <w:highlight w:val="none"/>
          <w:lang w:val="en-US" w:eastAsia="zh-CN"/>
        </w:rPr>
        <w:t>应</w:t>
      </w:r>
      <w:r>
        <w:rPr>
          <w:rFonts w:hint="default" w:ascii="Times New Roman" w:hAnsi="Times New Roman" w:cs="Times New Roman"/>
          <w:color w:val="auto"/>
          <w:highlight w:val="none"/>
        </w:rPr>
        <w:t>急</w:t>
      </w:r>
      <w:r>
        <w:rPr>
          <w:rFonts w:hint="default" w:ascii="Times New Roman" w:hAnsi="Times New Roman" w:eastAsia="宋体" w:cs="Times New Roman"/>
          <w:color w:val="auto"/>
          <w:highlight w:val="none"/>
        </w:rPr>
        <w:t>要求</w:t>
      </w:r>
    </w:p>
    <w:p>
      <w:pPr>
        <w:pStyle w:val="4"/>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突发环境事件应急预案</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建设单位于201</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年1</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月编制完成《</w:t>
      </w:r>
      <w:r>
        <w:rPr>
          <w:rFonts w:hint="default" w:ascii="Times New Roman" w:hAnsi="Times New Roman" w:cs="Times New Roman"/>
          <w:color w:val="auto"/>
          <w:highlight w:val="none"/>
          <w:lang w:val="en-US" w:eastAsia="zh-CN"/>
        </w:rPr>
        <w:t>福建瑞峰革业有限公司</w:t>
      </w:r>
      <w:r>
        <w:rPr>
          <w:rFonts w:hint="default" w:ascii="Times New Roman" w:hAnsi="Times New Roman" w:cs="Times New Roman"/>
          <w:color w:val="auto"/>
          <w:highlight w:val="none"/>
        </w:rPr>
        <w:t>突发环境事件应急预案》的备案（备案编号350982-</w:t>
      </w:r>
      <w:r>
        <w:rPr>
          <w:rFonts w:hint="default" w:ascii="Times New Roman" w:hAnsi="Times New Roman" w:cs="Times New Roman"/>
          <w:color w:val="auto"/>
          <w:highlight w:val="none"/>
          <w:lang w:val="en-US" w:eastAsia="zh-CN"/>
        </w:rPr>
        <w:t>2019-078-M</w:t>
      </w:r>
      <w:r>
        <w:rPr>
          <w:rFonts w:hint="default" w:ascii="Times New Roman" w:hAnsi="Times New Roman" w:cs="Times New Roman"/>
          <w:color w:val="auto"/>
          <w:highlight w:val="none"/>
        </w:rPr>
        <w:t>），建设单位应针对本次工程建设内容修编企业环境风险应急预案。本次评价给出应急预案框架参考，建设单位应根据政府主管部门和行业主管部门要求，参考本评价应急预案框架，</w:t>
      </w:r>
      <w:r>
        <w:rPr>
          <w:rFonts w:hint="default" w:ascii="Times New Roman" w:hAnsi="Times New Roman" w:cs="Times New Roman"/>
          <w:color w:val="auto"/>
          <w:highlight w:val="none"/>
          <w:lang w:val="en-US" w:eastAsia="zh-CN"/>
        </w:rPr>
        <w:t>根据本次建设内容修编</w:t>
      </w:r>
      <w:r>
        <w:rPr>
          <w:rFonts w:hint="default" w:ascii="Times New Roman" w:hAnsi="Times New Roman" w:cs="Times New Roman"/>
          <w:color w:val="auto"/>
          <w:highlight w:val="none"/>
        </w:rPr>
        <w:t>环境风险应急预案。建设单位应定期根据突发环境事件应急预案进行现场演练，确保发生事故时能够及时采取应急措施。</w:t>
      </w:r>
    </w:p>
    <w:p>
      <w:pPr>
        <w:pStyle w:val="15"/>
        <w:numPr>
          <w:ilvl w:val="7"/>
          <w:numId w:val="0"/>
        </w:numPr>
        <w:bidi w:val="0"/>
        <w:ind w:lef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表6.2-1  环境风险事故应急预案要点</w:t>
      </w:r>
    </w:p>
    <w:tbl>
      <w:tblPr>
        <w:tblStyle w:val="11"/>
        <w:tblW w:w="92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594"/>
        <w:gridCol w:w="70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41" w:type="dxa"/>
            <w:tcBorders>
              <w:tl2br w:val="nil"/>
              <w:tr2bl w:val="nil"/>
            </w:tcBorders>
            <w:vAlign w:val="center"/>
          </w:tcPr>
          <w:p>
            <w:pPr>
              <w:tabs>
                <w:tab w:val="left" w:pos="3825"/>
                <w:tab w:val="left" w:pos="4680"/>
              </w:tabs>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1594" w:type="dxa"/>
            <w:tcBorders>
              <w:tl2br w:val="nil"/>
              <w:tr2bl w:val="nil"/>
            </w:tcBorders>
            <w:vAlign w:val="center"/>
          </w:tcPr>
          <w:p>
            <w:pPr>
              <w:tabs>
                <w:tab w:val="left" w:pos="3825"/>
                <w:tab w:val="left" w:pos="4680"/>
              </w:tabs>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p>
        </w:tc>
        <w:tc>
          <w:tcPr>
            <w:tcW w:w="7052" w:type="dxa"/>
            <w:tcBorders>
              <w:tl2br w:val="nil"/>
              <w:tr2bl w:val="nil"/>
            </w:tcBorders>
            <w:vAlign w:val="center"/>
          </w:tcPr>
          <w:p>
            <w:pPr>
              <w:tabs>
                <w:tab w:val="left" w:pos="3825"/>
                <w:tab w:val="left" w:pos="4680"/>
              </w:tabs>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tcBorders>
              <w:tl2br w:val="nil"/>
              <w:tr2bl w:val="nil"/>
            </w:tcBorders>
            <w:vAlign w:val="center"/>
          </w:tcPr>
          <w:p>
            <w:pPr>
              <w:tabs>
                <w:tab w:val="left" w:pos="3825"/>
                <w:tab w:val="left" w:pos="4680"/>
              </w:tabs>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594" w:type="dxa"/>
            <w:tcBorders>
              <w:tl2br w:val="nil"/>
              <w:tr2bl w:val="nil"/>
            </w:tcBorders>
            <w:vAlign w:val="center"/>
          </w:tcPr>
          <w:p>
            <w:pPr>
              <w:tabs>
                <w:tab w:val="left" w:pos="3825"/>
                <w:tab w:val="left" w:pos="4680"/>
              </w:tabs>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总则</w:t>
            </w:r>
          </w:p>
        </w:tc>
        <w:tc>
          <w:tcPr>
            <w:tcW w:w="7052" w:type="dxa"/>
            <w:tcBorders>
              <w:tl2br w:val="nil"/>
              <w:tr2bl w:val="nil"/>
            </w:tcBorders>
            <w:vAlign w:val="center"/>
          </w:tcPr>
          <w:p>
            <w:pPr>
              <w:tabs>
                <w:tab w:val="left" w:pos="1980"/>
                <w:tab w:val="left" w:pos="3825"/>
                <w:tab w:val="left" w:pos="4680"/>
              </w:tabs>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编制目的、编制依据、事件分级、适用范围、工作原则、应急预案关系说明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tcBorders>
              <w:tl2br w:val="nil"/>
              <w:tr2bl w:val="nil"/>
            </w:tcBorders>
            <w:vAlign w:val="center"/>
          </w:tcPr>
          <w:p>
            <w:pPr>
              <w:tabs>
                <w:tab w:val="left" w:pos="3825"/>
                <w:tab w:val="left" w:pos="4680"/>
              </w:tabs>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1594" w:type="dxa"/>
            <w:tcBorders>
              <w:tl2br w:val="nil"/>
              <w:tr2bl w:val="nil"/>
            </w:tcBorders>
            <w:vAlign w:val="center"/>
          </w:tcPr>
          <w:p>
            <w:pPr>
              <w:tabs>
                <w:tab w:val="left" w:pos="3825"/>
                <w:tab w:val="left" w:pos="4680"/>
              </w:tabs>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应急组织指挥体系与职责</w:t>
            </w:r>
          </w:p>
        </w:tc>
        <w:tc>
          <w:tcPr>
            <w:tcW w:w="7052" w:type="dxa"/>
            <w:tcBorders>
              <w:tl2br w:val="nil"/>
              <w:tr2bl w:val="nil"/>
            </w:tcBorders>
            <w:vAlign w:val="center"/>
          </w:tcPr>
          <w:p>
            <w:pPr>
              <w:tabs>
                <w:tab w:val="left" w:pos="1980"/>
                <w:tab w:val="left" w:pos="3825"/>
                <w:tab w:val="left" w:pos="4680"/>
              </w:tabs>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内部应急机构体系与职责，外部指挥与协调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tcBorders>
              <w:tl2br w:val="nil"/>
              <w:tr2bl w:val="nil"/>
            </w:tcBorders>
            <w:vAlign w:val="center"/>
          </w:tcPr>
          <w:p>
            <w:pPr>
              <w:tabs>
                <w:tab w:val="left" w:pos="3825"/>
                <w:tab w:val="left" w:pos="4680"/>
              </w:tabs>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1594" w:type="dxa"/>
            <w:tcBorders>
              <w:tl2br w:val="nil"/>
              <w:tr2bl w:val="nil"/>
            </w:tcBorders>
            <w:vAlign w:val="center"/>
          </w:tcPr>
          <w:p>
            <w:pPr>
              <w:tabs>
                <w:tab w:val="left" w:pos="3825"/>
                <w:tab w:val="left" w:pos="4680"/>
              </w:tabs>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预防与预警</w:t>
            </w:r>
          </w:p>
        </w:tc>
        <w:tc>
          <w:tcPr>
            <w:tcW w:w="7052" w:type="dxa"/>
            <w:tcBorders>
              <w:tl2br w:val="nil"/>
              <w:tr2bl w:val="nil"/>
            </w:tcBorders>
            <w:vAlign w:val="center"/>
          </w:tcPr>
          <w:p>
            <w:pPr>
              <w:tabs>
                <w:tab w:val="left" w:pos="1980"/>
                <w:tab w:val="left" w:pos="3825"/>
                <w:tab w:val="left" w:pos="4680"/>
              </w:tabs>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企业应加强对各种可能发生的突发环境事件的风险目标监控，建立突发事件预警机制。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tcBorders>
              <w:tl2br w:val="nil"/>
              <w:tr2bl w:val="nil"/>
            </w:tcBorders>
            <w:vAlign w:val="center"/>
          </w:tcPr>
          <w:p>
            <w:pPr>
              <w:tabs>
                <w:tab w:val="left" w:pos="3825"/>
                <w:tab w:val="left" w:pos="4680"/>
              </w:tabs>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1594" w:type="dxa"/>
            <w:tcBorders>
              <w:tl2br w:val="nil"/>
              <w:tr2bl w:val="nil"/>
            </w:tcBorders>
            <w:vAlign w:val="center"/>
          </w:tcPr>
          <w:p>
            <w:pPr>
              <w:tabs>
                <w:tab w:val="left" w:pos="3825"/>
                <w:tab w:val="left" w:pos="4680"/>
              </w:tabs>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应急处置</w:t>
            </w:r>
          </w:p>
        </w:tc>
        <w:tc>
          <w:tcPr>
            <w:tcW w:w="7052" w:type="dxa"/>
            <w:tcBorders>
              <w:tl2br w:val="nil"/>
              <w:tr2bl w:val="nil"/>
            </w:tcBorders>
            <w:vAlign w:val="center"/>
          </w:tcPr>
          <w:p>
            <w:pPr>
              <w:tabs>
                <w:tab w:val="left" w:pos="1980"/>
                <w:tab w:val="left" w:pos="3825"/>
                <w:tab w:val="left" w:pos="4680"/>
              </w:tabs>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先期处置、响应分级、应急响应程序（内部接警与上报和外部信息报告与通报）、应急监测、应急处置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tcBorders>
              <w:tl2br w:val="nil"/>
              <w:tr2bl w:val="nil"/>
            </w:tcBorders>
            <w:vAlign w:val="center"/>
          </w:tcPr>
          <w:p>
            <w:pPr>
              <w:tabs>
                <w:tab w:val="left" w:pos="3825"/>
                <w:tab w:val="left" w:pos="4680"/>
              </w:tabs>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1594" w:type="dxa"/>
            <w:tcBorders>
              <w:tl2br w:val="nil"/>
              <w:tr2bl w:val="nil"/>
            </w:tcBorders>
            <w:vAlign w:val="center"/>
          </w:tcPr>
          <w:p>
            <w:pPr>
              <w:tabs>
                <w:tab w:val="left" w:pos="3825"/>
                <w:tab w:val="left" w:pos="4680"/>
              </w:tabs>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应急终止</w:t>
            </w:r>
          </w:p>
        </w:tc>
        <w:tc>
          <w:tcPr>
            <w:tcW w:w="7052" w:type="dxa"/>
            <w:tcBorders>
              <w:tl2br w:val="nil"/>
              <w:tr2bl w:val="nil"/>
            </w:tcBorders>
            <w:vAlign w:val="center"/>
          </w:tcPr>
          <w:p>
            <w:pPr>
              <w:tabs>
                <w:tab w:val="left" w:pos="1980"/>
                <w:tab w:val="left" w:pos="3825"/>
                <w:tab w:val="left" w:pos="4680"/>
              </w:tabs>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应急终止后，通知企业相关部门、周边社区及人员危险已解除，完成应急处理情况的上报与发布，并继续进行跟踪环境监测和评估方案。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tcBorders>
              <w:tl2br w:val="nil"/>
              <w:tr2bl w:val="nil"/>
            </w:tcBorders>
            <w:vAlign w:val="center"/>
          </w:tcPr>
          <w:p>
            <w:pPr>
              <w:tabs>
                <w:tab w:val="left" w:pos="3825"/>
                <w:tab w:val="left" w:pos="4680"/>
              </w:tabs>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1594" w:type="dxa"/>
            <w:tcBorders>
              <w:tl2br w:val="nil"/>
              <w:tr2bl w:val="nil"/>
            </w:tcBorders>
            <w:vAlign w:val="center"/>
          </w:tcPr>
          <w:p>
            <w:pPr>
              <w:tabs>
                <w:tab w:val="left" w:pos="3825"/>
                <w:tab w:val="left" w:pos="4680"/>
              </w:tabs>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后期处置</w:t>
            </w:r>
          </w:p>
        </w:tc>
        <w:tc>
          <w:tcPr>
            <w:tcW w:w="7052" w:type="dxa"/>
            <w:tcBorders>
              <w:tl2br w:val="nil"/>
              <w:tr2bl w:val="nil"/>
            </w:tcBorders>
            <w:vAlign w:val="center"/>
          </w:tcPr>
          <w:p>
            <w:pPr>
              <w:tabs>
                <w:tab w:val="left" w:pos="1980"/>
                <w:tab w:val="left" w:pos="3825"/>
                <w:tab w:val="left" w:pos="4680"/>
              </w:tabs>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善后处置、评估与总结（应急终止后企业应组织内部专家对突发环境事件应急做出评估，编制应急总结报告，提出修订应急预案建议）。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tcBorders>
              <w:tl2br w:val="nil"/>
              <w:tr2bl w:val="nil"/>
            </w:tcBorders>
            <w:vAlign w:val="center"/>
          </w:tcPr>
          <w:p>
            <w:pPr>
              <w:tabs>
                <w:tab w:val="left" w:pos="3825"/>
                <w:tab w:val="left" w:pos="4680"/>
              </w:tabs>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7</w:t>
            </w:r>
          </w:p>
        </w:tc>
        <w:tc>
          <w:tcPr>
            <w:tcW w:w="1594" w:type="dxa"/>
            <w:tcBorders>
              <w:tl2br w:val="nil"/>
              <w:tr2bl w:val="nil"/>
            </w:tcBorders>
            <w:vAlign w:val="center"/>
          </w:tcPr>
          <w:p>
            <w:pPr>
              <w:tabs>
                <w:tab w:val="left" w:pos="3825"/>
                <w:tab w:val="left" w:pos="4680"/>
              </w:tabs>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应急保障</w:t>
            </w:r>
          </w:p>
        </w:tc>
        <w:tc>
          <w:tcPr>
            <w:tcW w:w="7052" w:type="dxa"/>
            <w:tcBorders>
              <w:tl2br w:val="nil"/>
              <w:tr2bl w:val="nil"/>
            </w:tcBorders>
            <w:vAlign w:val="center"/>
          </w:tcPr>
          <w:p>
            <w:pPr>
              <w:tabs>
                <w:tab w:val="left" w:pos="1980"/>
                <w:tab w:val="left" w:pos="3825"/>
                <w:tab w:val="left" w:pos="4680"/>
              </w:tabs>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人力资源保障、资金保障、物质保障、医疗卫生保障、交通运输保障、通信与信息保障、科学技术保障等。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tcBorders>
              <w:tl2br w:val="nil"/>
              <w:tr2bl w:val="nil"/>
            </w:tcBorders>
            <w:vAlign w:val="center"/>
          </w:tcPr>
          <w:p>
            <w:pPr>
              <w:tabs>
                <w:tab w:val="left" w:pos="3825"/>
                <w:tab w:val="left" w:pos="4680"/>
              </w:tabs>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8</w:t>
            </w:r>
          </w:p>
        </w:tc>
        <w:tc>
          <w:tcPr>
            <w:tcW w:w="1594" w:type="dxa"/>
            <w:tcBorders>
              <w:tl2br w:val="nil"/>
              <w:tr2bl w:val="nil"/>
            </w:tcBorders>
            <w:vAlign w:val="center"/>
          </w:tcPr>
          <w:p>
            <w:pPr>
              <w:tabs>
                <w:tab w:val="left" w:pos="3825"/>
                <w:tab w:val="left" w:pos="4680"/>
              </w:tabs>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监督管理</w:t>
            </w:r>
          </w:p>
        </w:tc>
        <w:tc>
          <w:tcPr>
            <w:tcW w:w="7052" w:type="dxa"/>
            <w:tcBorders>
              <w:tl2br w:val="nil"/>
              <w:tr2bl w:val="nil"/>
            </w:tcBorders>
            <w:vAlign w:val="center"/>
          </w:tcPr>
          <w:p>
            <w:pPr>
              <w:tabs>
                <w:tab w:val="left" w:pos="1980"/>
                <w:tab w:val="left" w:pos="3825"/>
                <w:tab w:val="left" w:pos="4680"/>
              </w:tabs>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应急预案演练、宣教培训、责任与奖惩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tcBorders>
              <w:tl2br w:val="nil"/>
              <w:tr2bl w:val="nil"/>
            </w:tcBorders>
            <w:vAlign w:val="center"/>
          </w:tcPr>
          <w:p>
            <w:pPr>
              <w:tabs>
                <w:tab w:val="left" w:pos="3825"/>
                <w:tab w:val="left" w:pos="4680"/>
              </w:tabs>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9</w:t>
            </w:r>
          </w:p>
        </w:tc>
        <w:tc>
          <w:tcPr>
            <w:tcW w:w="1594" w:type="dxa"/>
            <w:tcBorders>
              <w:tl2br w:val="nil"/>
              <w:tr2bl w:val="nil"/>
            </w:tcBorders>
            <w:vAlign w:val="center"/>
          </w:tcPr>
          <w:p>
            <w:pPr>
              <w:tabs>
                <w:tab w:val="left" w:pos="3825"/>
                <w:tab w:val="left" w:pos="4680"/>
              </w:tabs>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附则</w:t>
            </w:r>
          </w:p>
        </w:tc>
        <w:tc>
          <w:tcPr>
            <w:tcW w:w="7052" w:type="dxa"/>
            <w:tcBorders>
              <w:tl2br w:val="nil"/>
              <w:tr2bl w:val="nil"/>
            </w:tcBorders>
            <w:vAlign w:val="center"/>
          </w:tcPr>
          <w:p>
            <w:pPr>
              <w:tabs>
                <w:tab w:val="left" w:pos="1980"/>
                <w:tab w:val="left" w:pos="3825"/>
                <w:tab w:val="left" w:pos="4680"/>
              </w:tabs>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名词术语定义、明确应急预案负责制定与解释的部门、修改情况（说明本预案修订的时间、过程和内容，明确预案的报备部门，明确应急预案维护和更新的基本要求，定期进行评审，实现可持续改进）、预案实施日期。</w:t>
            </w:r>
          </w:p>
        </w:tc>
      </w:tr>
    </w:tbl>
    <w:p>
      <w:pPr>
        <w:bidi w:val="0"/>
        <w:rPr>
          <w:rFonts w:hint="default" w:ascii="Times New Roman" w:hAnsi="Times New Roman" w:cs="Times New Roman"/>
          <w:color w:val="auto"/>
          <w:highlight w:val="none"/>
        </w:rPr>
      </w:pPr>
    </w:p>
    <w:p>
      <w:pPr>
        <w:pStyle w:val="4"/>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应急处置措施</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（1）化学品、危险废物泄漏应急处置措施</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①第一发现者立即查找泄漏源用沙袋、木屑等进行堵截，并熄灭所有火源，防止燃烧，若堵截有困难，汇报企业应急小组进行处理；</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②当班工作人员在穿戴好防护用品后，小心在围堰外检查出口阀门是否关闭，机修人员穿戴好防护用品后，在保障自身安全的情况下对泄漏处进行堵漏；</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③泄漏过程中用沙子堵住后收集起来的木屑、沙袋等，当作危险废物委托给资质的单位统一处置，避免造成二次污染；无法堵漏时，用泡沫覆盖，降低蒸气灾害；</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④堵住后，如果泄漏量较大，用应急泵将在围堰内的危险化学品进行收集，若量小则当班工作人员对泄漏区域用清水冲洗，冲洗水引流至事故缓冲池和应急罐中；</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⑤若泄漏大量溢出围堰，用沙土围堤收容，切断雨水总排放口阀门，防止外排，小量溢出用沙土覆盖后收集到铁桶内，暂存于危废间，之后交由资质单位处置；</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⑥当工作人员身体感觉不适时，应立即停止工作，并立即上报当班主管，送医院体检治疗，当发生人员晕倒时，发现人员穿戴好防护设施后，再进入现场进行施救；</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⑦周围拉上警戒线或竖立警示标志，禁止无关人员进入现场，禁止火源，使用非防爆电器，以免产生火花，迅速疏散受威胁的物资。</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（2）废水泄漏应急处置措施</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①发生废水泄漏时，在岗员工应立即关闭雨水总排放口，停止事故部门生产作业，并汇报应急办公室；</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②应急办启动救援，对泄漏部位采取关闭、隔断、围堵等先期处置措施，设法切断污染源和污染物去向，以利后续救援；</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③因严重泄漏，预计在厂区内无法有效控制的，及时疏散厂区内所有未防护人员，并向上风向转移。</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（3）废气处理措施事故应急处置措施</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①第一发现者通知立即停止生产，通知维修人员穿戴防护用品检查废气处理设施情况，并汇报应急办公室。</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②在废气处理设施维修、调试完毕后，方可再投入生产；</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③若处置过程有冲洗废水产生，引入事故应急池内暂存，事故排除后将其交由有处理能力的公司进行处理。</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（4）火灾事故应急措施</w:t>
      </w:r>
    </w:p>
    <w:p>
      <w:pPr>
        <w:bidi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火灾初期，应急救援人员根据火灾位置及物质特性实施灭火抢险并高声呼援，尽最大能力在火灾初期扑灭火灾。</w:t>
      </w:r>
      <w:r>
        <w:rPr>
          <w:rFonts w:hint="default" w:ascii="Times New Roman" w:hAnsi="Times New Roman" w:eastAsia="宋体" w:cs="Times New Roman"/>
          <w:color w:val="auto"/>
          <w:sz w:val="24"/>
          <w:highlight w:val="none"/>
          <w:lang w:val="en-US" w:eastAsia="zh-CN"/>
        </w:rPr>
        <w:t>灭火时可</w:t>
      </w:r>
      <w:r>
        <w:rPr>
          <w:rFonts w:hint="default" w:ascii="Times New Roman" w:hAnsi="Times New Roman" w:eastAsia="宋体" w:cs="Times New Roman"/>
          <w:color w:val="auto"/>
          <w:sz w:val="24"/>
          <w:highlight w:val="none"/>
        </w:rPr>
        <w:t>设置隔离带或区域，防止火灾蔓延。</w:t>
      </w:r>
    </w:p>
    <w:p>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②现场处置人员应在上风向或侧风阵地，进行火情侦察、火灾扑灭，同时通知厂内员工确认雨水排放口处于关闭状态，避免消防废水通过雨水排放口外排；</w:t>
      </w:r>
    </w:p>
    <w:p>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③当发生火灾应立即通知当天下风向及周边相邻企业疏散员工至安全地带（上风向或侧风阵地）。</w:t>
      </w:r>
    </w:p>
    <w:p>
      <w:pPr>
        <w:bidi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④</w:t>
      </w:r>
      <w:r>
        <w:rPr>
          <w:rFonts w:hint="default" w:ascii="Times New Roman" w:hAnsi="Times New Roman" w:eastAsia="宋体" w:cs="Times New Roman"/>
          <w:color w:val="auto"/>
          <w:sz w:val="24"/>
          <w:highlight w:val="none"/>
        </w:rPr>
        <w:t>当火灾事故有可能出现扩大、恶化苗头时，拨打火警电话，请求社会支援</w:t>
      </w:r>
      <w:r>
        <w:rPr>
          <w:rFonts w:hint="default" w:ascii="Times New Roman" w:hAnsi="Times New Roman" w:eastAsia="宋体" w:cs="Times New Roman"/>
          <w:color w:val="auto"/>
          <w:sz w:val="24"/>
          <w:highlight w:val="none"/>
          <w:lang w:eastAsia="zh-CN"/>
        </w:rPr>
        <w:t>；</w:t>
      </w:r>
    </w:p>
    <w:p>
      <w:pPr>
        <w:bidi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⑤</w:t>
      </w:r>
      <w:r>
        <w:rPr>
          <w:rFonts w:hint="default" w:ascii="Times New Roman" w:hAnsi="Times New Roman" w:eastAsia="宋体" w:cs="Times New Roman"/>
          <w:color w:val="auto"/>
          <w:sz w:val="24"/>
          <w:highlight w:val="none"/>
        </w:rPr>
        <w:t>若</w:t>
      </w:r>
      <w:r>
        <w:rPr>
          <w:rFonts w:hint="default" w:ascii="Times New Roman" w:hAnsi="Times New Roman" w:eastAsia="宋体" w:cs="Times New Roman"/>
          <w:color w:val="auto"/>
          <w:sz w:val="24"/>
          <w:highlight w:val="none"/>
          <w:lang w:val="en-US" w:eastAsia="zh-CN"/>
        </w:rPr>
        <w:t>有</w:t>
      </w:r>
      <w:r>
        <w:rPr>
          <w:rFonts w:hint="default" w:ascii="Times New Roman" w:hAnsi="Times New Roman" w:eastAsia="宋体" w:cs="Times New Roman"/>
          <w:color w:val="auto"/>
          <w:sz w:val="24"/>
          <w:highlight w:val="none"/>
        </w:rPr>
        <w:t>人员受伤，应急救援人员应佩戴好防护用品（如防毒面具等），迅速抢救</w:t>
      </w:r>
      <w:r>
        <w:rPr>
          <w:rFonts w:hint="default" w:ascii="Times New Roman" w:hAnsi="Times New Roman" w:eastAsia="宋体" w:cs="Times New Roman"/>
          <w:color w:val="auto"/>
          <w:sz w:val="24"/>
          <w:highlight w:val="none"/>
          <w:lang w:val="en-US" w:eastAsia="zh-CN"/>
        </w:rPr>
        <w:t>出现场</w:t>
      </w:r>
      <w:r>
        <w:rPr>
          <w:rFonts w:hint="default" w:ascii="Times New Roman" w:hAnsi="Times New Roman" w:eastAsia="宋体" w:cs="Times New Roman"/>
          <w:color w:val="auto"/>
          <w:sz w:val="24"/>
          <w:highlight w:val="none"/>
        </w:rPr>
        <w:t>，之后进行救治</w:t>
      </w:r>
      <w:r>
        <w:rPr>
          <w:rFonts w:hint="default" w:ascii="Times New Roman" w:hAnsi="Times New Roman" w:eastAsia="宋体" w:cs="Times New Roman"/>
          <w:color w:val="auto"/>
          <w:sz w:val="24"/>
          <w:highlight w:val="none"/>
          <w:lang w:eastAsia="zh-CN"/>
        </w:rPr>
        <w:t>；</w:t>
      </w:r>
    </w:p>
    <w:p>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⑥</w:t>
      </w:r>
      <w:r>
        <w:rPr>
          <w:rFonts w:hint="default" w:ascii="Times New Roman" w:hAnsi="Times New Roman" w:eastAsia="宋体" w:cs="Times New Roman"/>
          <w:color w:val="auto"/>
          <w:sz w:val="24"/>
          <w:highlight w:val="none"/>
        </w:rPr>
        <w:t>禁止无关人员进入现场</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禁止火源，使用非防爆电器，以免产生火花，迅速疏散</w:t>
      </w:r>
      <w:r>
        <w:rPr>
          <w:rFonts w:hint="default" w:ascii="Times New Roman" w:hAnsi="Times New Roman" w:eastAsia="宋体" w:cs="Times New Roman"/>
          <w:color w:val="auto"/>
          <w:sz w:val="24"/>
          <w:highlight w:val="none"/>
          <w:lang w:val="en-US" w:eastAsia="zh-CN"/>
        </w:rPr>
        <w:t>易燃易爆物资</w:t>
      </w:r>
      <w:r>
        <w:rPr>
          <w:rFonts w:hint="default" w:ascii="Times New Roman" w:hAnsi="Times New Roman" w:eastAsia="宋体" w:cs="Times New Roman"/>
          <w:color w:val="auto"/>
          <w:sz w:val="24"/>
          <w:highlight w:val="none"/>
          <w:lang w:eastAsia="zh-CN"/>
        </w:rPr>
        <w:t>；</w:t>
      </w:r>
    </w:p>
    <w:p>
      <w:pPr>
        <w:pStyle w:val="5"/>
        <w:rPr>
          <w:rFonts w:hint="default" w:ascii="Times New Roman" w:hAnsi="Times New Roman" w:cs="Times New Roman"/>
          <w:color w:val="auto"/>
          <w:highlight w:val="none"/>
        </w:rPr>
      </w:pPr>
      <w:r>
        <w:rPr>
          <w:rFonts w:hint="default" w:ascii="Times New Roman" w:hAnsi="Times New Roman" w:eastAsia="宋体" w:cs="Times New Roman"/>
          <w:color w:val="auto"/>
          <w:sz w:val="24"/>
          <w:highlight w:val="none"/>
          <w:lang w:val="en-US" w:eastAsia="zh-CN"/>
        </w:rPr>
        <w:t>⑦</w:t>
      </w:r>
      <w:r>
        <w:rPr>
          <w:rFonts w:hint="default" w:ascii="Times New Roman" w:hAnsi="Times New Roman" w:eastAsia="宋体" w:cs="Times New Roman"/>
          <w:color w:val="auto"/>
          <w:sz w:val="24"/>
          <w:highlight w:val="none"/>
        </w:rPr>
        <w:t>迅速按照疏散路线，组织无关人员撤离现场。人员撤离后，立即清点人数，确定有无失踪人员，并将结果报告应急</w:t>
      </w:r>
      <w:r>
        <w:rPr>
          <w:rFonts w:hint="default" w:ascii="Times New Roman" w:hAnsi="Times New Roman" w:eastAsia="宋体" w:cs="Times New Roman"/>
          <w:color w:val="auto"/>
          <w:sz w:val="24"/>
          <w:highlight w:val="none"/>
          <w:lang w:val="en-US" w:eastAsia="zh-CN"/>
        </w:rPr>
        <w:t>小组</w:t>
      </w:r>
      <w:r>
        <w:rPr>
          <w:rFonts w:hint="default" w:ascii="Times New Roman" w:hAnsi="Times New Roman" w:eastAsia="宋体" w:cs="Times New Roman"/>
          <w:color w:val="auto"/>
          <w:sz w:val="24"/>
          <w:highlight w:val="none"/>
          <w:lang w:eastAsia="zh-CN"/>
        </w:rPr>
        <w:t>。</w:t>
      </w:r>
    </w:p>
    <w:p>
      <w:pPr>
        <w:pStyle w:val="2"/>
        <w:numPr>
          <w:ilvl w:val="1"/>
          <w:numId w:val="10"/>
        </w:numPr>
        <w:tabs>
          <w:tab w:val="left" w:pos="420"/>
          <w:tab w:val="clear" w:pos="0"/>
        </w:tabs>
        <w:adjustRightInd w:val="0"/>
        <w:snapToGrid w:val="0"/>
        <w:spacing w:before="240" w:after="240"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w:t>
      </w:r>
      <w:r>
        <w:rPr>
          <w:rFonts w:hint="default" w:ascii="Times New Roman" w:hAnsi="Times New Roman" w:eastAsia="宋体" w:cs="Times New Roman"/>
          <w:color w:val="auto"/>
          <w:highlight w:val="none"/>
        </w:rPr>
        <w:t>结论</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（1）项目危险因素</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主要环境风险物质为DMF、DMF废</w:t>
      </w:r>
      <w:r>
        <w:rPr>
          <w:rFonts w:hint="eastAsia" w:cs="Times New Roman"/>
          <w:color w:val="auto"/>
          <w:highlight w:val="none"/>
          <w:lang w:val="en-US" w:eastAsia="zh-CN"/>
        </w:rPr>
        <w:t>液</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机油</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厂区</w:t>
      </w:r>
      <w:r>
        <w:rPr>
          <w:rFonts w:hint="default" w:ascii="Times New Roman" w:hAnsi="Times New Roman" w:cs="Times New Roman"/>
          <w:color w:val="auto"/>
          <w:highlight w:val="none"/>
        </w:rPr>
        <w:t>主要危险单元是罐区、</w:t>
      </w:r>
      <w:r>
        <w:rPr>
          <w:rFonts w:hint="default" w:ascii="Times New Roman" w:hAnsi="Times New Roman" w:cs="Times New Roman"/>
          <w:color w:val="auto"/>
          <w:highlight w:val="none"/>
          <w:lang w:val="en-US" w:eastAsia="zh-CN"/>
        </w:rPr>
        <w:t>生产车间</w:t>
      </w:r>
      <w:r>
        <w:rPr>
          <w:rFonts w:hint="default" w:ascii="Times New Roman" w:hAnsi="Times New Roman" w:cs="Times New Roman"/>
          <w:color w:val="auto"/>
          <w:highlight w:val="none"/>
        </w:rPr>
        <w:t>、危险废物暂存间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仓库、配料间</w:t>
      </w:r>
      <w:r>
        <w:rPr>
          <w:rFonts w:hint="default" w:ascii="Times New Roman" w:hAnsi="Times New Roman" w:cs="Times New Roman"/>
          <w:color w:val="auto"/>
          <w:highlight w:val="none"/>
        </w:rPr>
        <w:t>等，可能产生的环境风险事故为</w:t>
      </w:r>
      <w:r>
        <w:rPr>
          <w:rFonts w:hint="default" w:ascii="Times New Roman" w:hAnsi="Times New Roman" w:cs="Times New Roman"/>
          <w:color w:val="auto"/>
          <w:highlight w:val="none"/>
          <w:lang w:val="en-US" w:eastAsia="zh-CN"/>
        </w:rPr>
        <w:t>危险物质</w:t>
      </w:r>
      <w:r>
        <w:rPr>
          <w:rFonts w:hint="default" w:ascii="Times New Roman" w:hAnsi="Times New Roman" w:cs="Times New Roman"/>
          <w:color w:val="auto"/>
          <w:highlight w:val="none"/>
        </w:rPr>
        <w:t>泄漏引发的中毒、</w:t>
      </w:r>
      <w:r>
        <w:rPr>
          <w:rFonts w:hint="eastAsia" w:cs="宋体"/>
          <w:color w:val="auto"/>
          <w:sz w:val="24"/>
          <w:highlight w:val="none"/>
          <w:lang w:bidi="ar"/>
        </w:rPr>
        <w:t>环保设施出现故障或管道泄漏导致的环境污染事故</w:t>
      </w:r>
      <w:r>
        <w:rPr>
          <w:rFonts w:hint="eastAsia" w:cs="宋体"/>
          <w:color w:val="auto"/>
          <w:sz w:val="24"/>
          <w:highlight w:val="none"/>
          <w:lang w:eastAsia="zh-CN" w:bidi="ar"/>
        </w:rPr>
        <w:t>、</w:t>
      </w:r>
      <w:r>
        <w:rPr>
          <w:rFonts w:hint="default" w:ascii="Times New Roman" w:hAnsi="Times New Roman" w:cs="Times New Roman"/>
          <w:color w:val="auto"/>
          <w:highlight w:val="none"/>
        </w:rPr>
        <w:t>事故废水排放等。</w:t>
      </w:r>
    </w:p>
    <w:p>
      <w:pPr>
        <w:pStyle w:val="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环境风险防范措施以及应急预案</w:t>
      </w:r>
    </w:p>
    <w:p>
      <w:pPr>
        <w:pStyle w:val="5"/>
        <w:ind w:firstLine="480"/>
        <w:rPr>
          <w:rFonts w:hint="default" w:ascii="Times New Roman" w:hAnsi="Times New Roman" w:cs="Times New Roman"/>
          <w:color w:val="auto"/>
          <w:highlight w:val="none"/>
        </w:rPr>
      </w:pPr>
      <w:r>
        <w:rPr>
          <w:rFonts w:hint="eastAsia"/>
          <w:color w:val="auto"/>
          <w:highlight w:val="none"/>
          <w:lang w:val="en-US" w:eastAsia="zh-CN"/>
        </w:rPr>
        <w:t>规范建设危险废物暂存间，采取有效防渗措施，储罐</w:t>
      </w:r>
      <w:r>
        <w:rPr>
          <w:rFonts w:hint="eastAsia"/>
          <w:color w:val="auto"/>
          <w:highlight w:val="none"/>
        </w:rPr>
        <w:t>设置围堰</w:t>
      </w:r>
      <w:r>
        <w:rPr>
          <w:rFonts w:hint="eastAsia"/>
          <w:color w:val="auto"/>
          <w:highlight w:val="none"/>
          <w:lang w:eastAsia="zh-CN"/>
        </w:rPr>
        <w:t>；</w:t>
      </w:r>
      <w:r>
        <w:rPr>
          <w:rFonts w:hint="default" w:ascii="Times New Roman" w:hAnsi="Times New Roman" w:cs="Times New Roman"/>
          <w:color w:val="auto"/>
          <w:highlight w:val="none"/>
          <w:lang w:val="en-US" w:eastAsia="zh-CN"/>
        </w:rPr>
        <w:t>危险单元应</w:t>
      </w:r>
      <w:r>
        <w:rPr>
          <w:rFonts w:hint="default" w:ascii="Times New Roman" w:hAnsi="Times New Roman" w:cs="Times New Roman"/>
          <w:color w:val="auto"/>
          <w:highlight w:val="none"/>
        </w:rPr>
        <w:t>配备灭火器等消防措施，及时灭火，减缓火灾影响；确保在事故状态下能顺利收集消防废水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事故废水</w:t>
      </w:r>
      <w:r>
        <w:rPr>
          <w:rFonts w:hint="eastAsia" w:cs="Times New Roman"/>
          <w:color w:val="auto"/>
          <w:highlight w:val="none"/>
          <w:lang w:val="en-US" w:eastAsia="zh-CN"/>
        </w:rPr>
        <w:t>依托厂区已建200m</w:t>
      </w:r>
      <w:r>
        <w:rPr>
          <w:rFonts w:hint="eastAsia" w:cs="Times New Roman"/>
          <w:color w:val="auto"/>
          <w:highlight w:val="none"/>
          <w:vertAlign w:val="superscript"/>
          <w:lang w:val="en-US" w:eastAsia="zh-CN"/>
        </w:rPr>
        <w:t>3</w:t>
      </w:r>
      <w:r>
        <w:rPr>
          <w:rFonts w:hint="eastAsia" w:cs="Times New Roman"/>
          <w:color w:val="auto"/>
          <w:highlight w:val="none"/>
          <w:vertAlign w:val="baseline"/>
          <w:lang w:val="en-US" w:eastAsia="zh-CN"/>
        </w:rPr>
        <w:t>事故应急池，</w:t>
      </w:r>
      <w:r>
        <w:rPr>
          <w:rFonts w:hint="default" w:ascii="Times New Roman" w:hAnsi="Times New Roman" w:cs="Times New Roman"/>
          <w:color w:val="auto"/>
          <w:highlight w:val="none"/>
          <w:lang w:val="en-US" w:eastAsia="zh-CN"/>
        </w:rPr>
        <w:t>采取三级防控措施</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企业应</w:t>
      </w:r>
      <w:r>
        <w:rPr>
          <w:rFonts w:hint="default" w:ascii="Times New Roman" w:hAnsi="Times New Roman" w:cs="Times New Roman"/>
          <w:color w:val="auto"/>
          <w:highlight w:val="none"/>
        </w:rPr>
        <w:t>按相关要求编制突发环境事件应急预案</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并加强员工安全及环境风险应急培训</w:t>
      </w:r>
      <w:r>
        <w:rPr>
          <w:rFonts w:hint="default" w:ascii="Times New Roman" w:hAnsi="Times New Roman" w:cs="Times New Roman"/>
          <w:color w:val="auto"/>
          <w:highlight w:val="none"/>
        </w:rPr>
        <w:t>。</w:t>
      </w:r>
    </w:p>
    <w:p>
      <w:pPr>
        <w:pStyle w:val="5"/>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3</w:t>
      </w:r>
      <w:r>
        <w:rPr>
          <w:rFonts w:hint="default" w:ascii="Times New Roman" w:hAnsi="Times New Roman" w:cs="Times New Roman"/>
          <w:color w:val="auto"/>
          <w:highlight w:val="none"/>
          <w:lang w:eastAsia="zh-CN"/>
        </w:rPr>
        <w:t>）环境风险评价结论</w:t>
      </w:r>
    </w:p>
    <w:p>
      <w:pPr>
        <w:pStyle w:val="5"/>
        <w:ind w:firstLine="480"/>
        <w:rPr>
          <w:color w:val="auto"/>
          <w:highlight w:val="none"/>
        </w:rPr>
      </w:pPr>
      <w:r>
        <w:rPr>
          <w:rFonts w:hint="eastAsia"/>
          <w:color w:val="auto"/>
          <w:highlight w:val="none"/>
        </w:rPr>
        <w:t>①本项目1</w:t>
      </w:r>
      <w:r>
        <w:rPr>
          <w:rFonts w:hint="eastAsia"/>
          <w:color w:val="auto"/>
          <w:highlight w:val="none"/>
          <w:lang w:val="en-US" w:eastAsia="zh-CN"/>
        </w:rPr>
        <w:t>0</w:t>
      </w:r>
      <w:r>
        <w:rPr>
          <w:rFonts w:hint="eastAsia"/>
          <w:color w:val="auto"/>
          <w:highlight w:val="none"/>
        </w:rPr>
        <w:t>≤Q＜1</w:t>
      </w:r>
      <w:r>
        <w:rPr>
          <w:rFonts w:hint="eastAsia"/>
          <w:color w:val="auto"/>
          <w:highlight w:val="none"/>
          <w:lang w:val="en-US" w:eastAsia="zh-CN"/>
        </w:rPr>
        <w:t>0</w:t>
      </w:r>
      <w:r>
        <w:rPr>
          <w:rFonts w:hint="eastAsia"/>
          <w:color w:val="auto"/>
          <w:highlight w:val="none"/>
        </w:rPr>
        <w:t>0，经判定本项目环境风险评价等级为三级。</w:t>
      </w:r>
    </w:p>
    <w:p>
      <w:pPr>
        <w:pStyle w:val="5"/>
        <w:ind w:firstLine="480"/>
        <w:rPr>
          <w:color w:val="auto"/>
          <w:highlight w:val="none"/>
        </w:rPr>
      </w:pPr>
      <w:r>
        <w:rPr>
          <w:rFonts w:hint="eastAsia"/>
          <w:color w:val="auto"/>
          <w:highlight w:val="none"/>
        </w:rPr>
        <w:t>②最大风险事故是原辅料的</w:t>
      </w:r>
      <w:r>
        <w:rPr>
          <w:rFonts w:hint="eastAsia"/>
          <w:color w:val="auto"/>
          <w:highlight w:val="none"/>
          <w:lang w:eastAsia="zh-CN"/>
        </w:rPr>
        <w:t>泄漏</w:t>
      </w:r>
      <w:r>
        <w:rPr>
          <w:rFonts w:hint="eastAsia"/>
          <w:color w:val="auto"/>
          <w:highlight w:val="none"/>
        </w:rPr>
        <w:t>，通过采取有效防控措施，风险可控。</w:t>
      </w:r>
    </w:p>
    <w:p>
      <w:pPr>
        <w:pStyle w:val="5"/>
        <w:ind w:firstLine="480"/>
        <w:rPr>
          <w:rFonts w:hint="default" w:ascii="Times New Roman" w:hAnsi="Times New Roman" w:cs="Times New Roman"/>
          <w:color w:val="auto"/>
          <w:highlight w:val="none"/>
          <w:lang w:val="en-US" w:eastAsia="zh-CN"/>
        </w:rPr>
      </w:pPr>
      <w:r>
        <w:rPr>
          <w:rFonts w:hint="eastAsia"/>
          <w:color w:val="auto"/>
          <w:highlight w:val="none"/>
          <w:lang w:val="en-US" w:eastAsia="zh-CN"/>
        </w:rPr>
        <w:t>③建设单位应根据本工程建设内容，按照</w:t>
      </w:r>
      <w:r>
        <w:rPr>
          <w:rFonts w:hint="default" w:ascii="Times New Roman" w:hAnsi="Times New Roman" w:eastAsia="宋体" w:cs="Times New Roman"/>
          <w:color w:val="auto"/>
          <w:sz w:val="24"/>
          <w:highlight w:val="none"/>
          <w:lang w:val="en-US" w:eastAsia="zh-CN"/>
        </w:rPr>
        <w:t>《企业事业单位突发环境应急预案备案管理办法（试行）》（环发[2015]4号）</w:t>
      </w:r>
      <w:r>
        <w:rPr>
          <w:rFonts w:hint="eastAsia" w:ascii="Times New Roman" w:hAnsi="Times New Roman" w:cs="Times New Roman"/>
          <w:color w:val="auto"/>
          <w:sz w:val="24"/>
          <w:highlight w:val="none"/>
          <w:lang w:val="en-US" w:eastAsia="zh-CN"/>
        </w:rPr>
        <w:t>等规范文件</w:t>
      </w:r>
      <w:r>
        <w:rPr>
          <w:rFonts w:hint="eastAsia"/>
          <w:color w:val="auto"/>
          <w:highlight w:val="none"/>
          <w:lang w:val="en-US" w:eastAsia="zh-CN"/>
        </w:rPr>
        <w:t>修编突发环境事件应急预案，报福鼎市生态环境局备案，并加强员工安全及环境风险应急培训。</w:t>
      </w:r>
    </w:p>
    <w:p>
      <w:pPr>
        <w:pStyle w:val="5"/>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sz w:val="24"/>
          <w:highlight w:val="none"/>
          <w:lang w:val="en-US" w:eastAsia="zh-CN"/>
        </w:rPr>
        <w:t>在建立应急联动，及时与政府相关部门联系，协助相应的应急处置工作；加强员工安全及环境风险应急培训，严格落实本评价提出的各项环境风险防控措施的情况下，发生风险事故概率较小，项目环境风险可防可控。</w:t>
      </w:r>
    </w:p>
    <w:p>
      <w:pPr>
        <w:pStyle w:val="5"/>
        <w:ind w:firstLine="480"/>
        <w:rPr>
          <w:rFonts w:hint="default" w:ascii="Times New Roman" w:hAnsi="Times New Roman" w:cs="Times New Roman"/>
          <w:color w:val="auto"/>
          <w:highlight w:val="none"/>
        </w:rPr>
        <w:sectPr>
          <w:footerReference r:id="rId5" w:type="default"/>
          <w:pgSz w:w="11905" w:h="16838"/>
          <w:pgMar w:top="1417" w:right="1417" w:bottom="1417" w:left="1417" w:header="851" w:footer="1077" w:gutter="0"/>
          <w:pgBorders>
            <w:top w:val="none" w:sz="0" w:space="0"/>
            <w:left w:val="none" w:sz="0" w:space="0"/>
            <w:bottom w:val="none" w:sz="0" w:space="0"/>
            <w:right w:val="none" w:sz="0" w:space="0"/>
          </w:pgBorders>
          <w:pgNumType w:fmt="numberInDash"/>
          <w:cols w:space="0" w:num="1"/>
          <w:docGrid w:linePitch="312" w:charSpace="0"/>
        </w:sectPr>
      </w:pPr>
    </w:p>
    <w:p>
      <w:pPr>
        <w:spacing w:line="360" w:lineRule="auto"/>
        <w:jc w:val="center"/>
        <w:rPr>
          <w:rFonts w:hint="default" w:ascii="Times New Roman" w:hAnsi="Times New Roman" w:cs="Times New Roman"/>
          <w:b/>
          <w:color w:val="auto"/>
          <w:sz w:val="24"/>
          <w:highlight w:val="none"/>
        </w:rPr>
      </w:pPr>
      <w:r>
        <w:rPr>
          <w:rFonts w:hint="default" w:ascii="Times New Roman" w:hAnsi="Times New Roman" w:cs="Times New Roman"/>
          <w:b/>
          <w:bCs/>
          <w:color w:val="auto"/>
          <w:sz w:val="24"/>
          <w:highlight w:val="none"/>
        </w:rPr>
        <w:t>环境风险评价自查表</w:t>
      </w:r>
    </w:p>
    <w:tbl>
      <w:tblPr>
        <w:tblStyle w:val="11"/>
        <w:tblW w:w="9286" w:type="dxa"/>
        <w:jc w:val="center"/>
        <w:tblLayout w:type="fixed"/>
        <w:tblCellMar>
          <w:top w:w="0" w:type="dxa"/>
          <w:left w:w="108" w:type="dxa"/>
          <w:bottom w:w="0" w:type="dxa"/>
          <w:right w:w="108" w:type="dxa"/>
        </w:tblCellMar>
      </w:tblPr>
      <w:tblGrid>
        <w:gridCol w:w="592"/>
        <w:gridCol w:w="1121"/>
        <w:gridCol w:w="1045"/>
        <w:gridCol w:w="795"/>
        <w:gridCol w:w="837"/>
        <w:gridCol w:w="171"/>
        <w:gridCol w:w="1391"/>
        <w:gridCol w:w="1154"/>
        <w:gridCol w:w="235"/>
        <w:gridCol w:w="313"/>
        <w:gridCol w:w="92"/>
        <w:gridCol w:w="1540"/>
      </w:tblGrid>
      <w:tr>
        <w:tblPrEx>
          <w:tblCellMar>
            <w:top w:w="0" w:type="dxa"/>
            <w:left w:w="108" w:type="dxa"/>
            <w:bottom w:w="0" w:type="dxa"/>
            <w:right w:w="108" w:type="dxa"/>
          </w:tblCellMar>
        </w:tblPrEx>
        <w:trPr>
          <w:trHeight w:val="329" w:hRule="atLeast"/>
          <w:jc w:val="center"/>
        </w:trPr>
        <w:tc>
          <w:tcPr>
            <w:tcW w:w="171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工作内容</w:t>
            </w:r>
          </w:p>
        </w:tc>
        <w:tc>
          <w:tcPr>
            <w:tcW w:w="7573" w:type="dxa"/>
            <w:gridSpan w:val="10"/>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完成情况</w:t>
            </w:r>
          </w:p>
        </w:tc>
      </w:tr>
      <w:tr>
        <w:tblPrEx>
          <w:tblCellMar>
            <w:top w:w="0" w:type="dxa"/>
            <w:left w:w="108" w:type="dxa"/>
            <w:bottom w:w="0" w:type="dxa"/>
            <w:right w:w="108" w:type="dxa"/>
          </w:tblCellMar>
        </w:tblPrEx>
        <w:trPr>
          <w:trHeight w:val="329" w:hRule="atLeast"/>
          <w:jc w:val="center"/>
        </w:trPr>
        <w:tc>
          <w:tcPr>
            <w:tcW w:w="59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风险调查</w:t>
            </w:r>
          </w:p>
        </w:tc>
        <w:tc>
          <w:tcPr>
            <w:tcW w:w="1121" w:type="dxa"/>
            <w:vMerge w:val="restart"/>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危险物质</w:t>
            </w:r>
          </w:p>
        </w:tc>
        <w:tc>
          <w:tcPr>
            <w:tcW w:w="1045" w:type="dxa"/>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名称</w:t>
            </w:r>
          </w:p>
        </w:tc>
        <w:tc>
          <w:tcPr>
            <w:tcW w:w="1632" w:type="dxa"/>
            <w:gridSpan w:val="2"/>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DMF</w:t>
            </w:r>
          </w:p>
        </w:tc>
        <w:tc>
          <w:tcPr>
            <w:tcW w:w="1562" w:type="dxa"/>
            <w:gridSpan w:val="2"/>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PU树脂</w:t>
            </w:r>
          </w:p>
        </w:tc>
        <w:tc>
          <w:tcPr>
            <w:tcW w:w="1702" w:type="dxa"/>
            <w:gridSpan w:val="3"/>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机油</w:t>
            </w:r>
          </w:p>
        </w:tc>
        <w:tc>
          <w:tcPr>
            <w:tcW w:w="1632" w:type="dxa"/>
            <w:gridSpan w:val="2"/>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DMF废液</w:t>
            </w:r>
          </w:p>
        </w:tc>
      </w:tr>
      <w:tr>
        <w:tblPrEx>
          <w:tblCellMar>
            <w:top w:w="0" w:type="dxa"/>
            <w:left w:w="108" w:type="dxa"/>
            <w:bottom w:w="0" w:type="dxa"/>
            <w:right w:w="108" w:type="dxa"/>
          </w:tblCellMar>
        </w:tblPrEx>
        <w:trPr>
          <w:trHeight w:val="329"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1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045" w:type="dxa"/>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存在总量t</w:t>
            </w:r>
          </w:p>
        </w:tc>
        <w:tc>
          <w:tcPr>
            <w:tcW w:w="1632" w:type="dxa"/>
            <w:gridSpan w:val="2"/>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81</w:t>
            </w:r>
          </w:p>
        </w:tc>
        <w:tc>
          <w:tcPr>
            <w:tcW w:w="1562" w:type="dxa"/>
            <w:gridSpan w:val="2"/>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60</w:t>
            </w:r>
          </w:p>
        </w:tc>
        <w:tc>
          <w:tcPr>
            <w:tcW w:w="1702" w:type="dxa"/>
            <w:gridSpan w:val="3"/>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0.2</w:t>
            </w:r>
          </w:p>
        </w:tc>
        <w:tc>
          <w:tcPr>
            <w:tcW w:w="1632" w:type="dxa"/>
            <w:gridSpan w:val="2"/>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267.67</w:t>
            </w:r>
          </w:p>
        </w:tc>
      </w:tr>
      <w:tr>
        <w:tblPrEx>
          <w:tblCellMar>
            <w:top w:w="0" w:type="dxa"/>
            <w:left w:w="108" w:type="dxa"/>
            <w:bottom w:w="0" w:type="dxa"/>
            <w:right w:w="108" w:type="dxa"/>
          </w:tblCellMar>
        </w:tblPrEx>
        <w:trPr>
          <w:trHeight w:val="329"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12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环境敏感性</w:t>
            </w:r>
          </w:p>
        </w:tc>
        <w:tc>
          <w:tcPr>
            <w:tcW w:w="104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大气</w:t>
            </w:r>
          </w:p>
        </w:tc>
        <w:tc>
          <w:tcPr>
            <w:tcW w:w="3194"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 xml:space="preserve">500m范围内人口数  </w:t>
            </w:r>
            <w:r>
              <w:rPr>
                <w:rFonts w:hint="default" w:ascii="Times New Roman" w:hAnsi="Times New Roman" w:cs="Times New Roman"/>
                <w:iCs/>
                <w:color w:val="auto"/>
                <w:sz w:val="18"/>
                <w:szCs w:val="18"/>
                <w:highlight w:val="none"/>
                <w:lang w:val="en-US" w:eastAsia="zh-CN"/>
              </w:rPr>
              <w:t>800</w:t>
            </w:r>
            <w:r>
              <w:rPr>
                <w:rFonts w:hint="default" w:ascii="Times New Roman" w:hAnsi="Times New Roman" w:cs="Times New Roman"/>
                <w:iCs/>
                <w:color w:val="auto"/>
                <w:sz w:val="18"/>
                <w:szCs w:val="18"/>
                <w:highlight w:val="none"/>
              </w:rPr>
              <w:t>人</w:t>
            </w:r>
          </w:p>
        </w:tc>
        <w:tc>
          <w:tcPr>
            <w:tcW w:w="3334" w:type="dxa"/>
            <w:gridSpan w:val="5"/>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 xml:space="preserve">5km范围内人口数 </w:t>
            </w:r>
            <w:r>
              <w:rPr>
                <w:rFonts w:hint="default" w:ascii="Times New Roman" w:hAnsi="Times New Roman" w:cs="Times New Roman"/>
                <w:iCs/>
                <w:color w:val="auto"/>
                <w:sz w:val="18"/>
                <w:szCs w:val="18"/>
                <w:highlight w:val="none"/>
                <w:lang w:val="en-US" w:eastAsia="zh-CN"/>
              </w:rPr>
              <w:t>45477</w:t>
            </w:r>
            <w:r>
              <w:rPr>
                <w:rFonts w:hint="default" w:ascii="Times New Roman" w:hAnsi="Times New Roman" w:cs="Times New Roman"/>
                <w:iCs/>
                <w:color w:val="auto"/>
                <w:sz w:val="18"/>
                <w:szCs w:val="18"/>
                <w:highlight w:val="none"/>
              </w:rPr>
              <w:t xml:space="preserve"> 人</w:t>
            </w:r>
          </w:p>
        </w:tc>
      </w:tr>
      <w:tr>
        <w:tblPrEx>
          <w:tblCellMar>
            <w:top w:w="0" w:type="dxa"/>
            <w:left w:w="108" w:type="dxa"/>
            <w:bottom w:w="0" w:type="dxa"/>
            <w:right w:w="108" w:type="dxa"/>
          </w:tblCellMar>
        </w:tblPrEx>
        <w:trPr>
          <w:trHeight w:val="329"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1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0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4348" w:type="dxa"/>
            <w:gridSpan w:val="5"/>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每公里管段周边200m范围内人口数（最大）</w:t>
            </w:r>
          </w:p>
        </w:tc>
        <w:tc>
          <w:tcPr>
            <w:tcW w:w="218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 xml:space="preserve">  / 人</w:t>
            </w:r>
          </w:p>
        </w:tc>
      </w:tr>
      <w:tr>
        <w:tblPrEx>
          <w:tblCellMar>
            <w:top w:w="0" w:type="dxa"/>
            <w:left w:w="108" w:type="dxa"/>
            <w:bottom w:w="0" w:type="dxa"/>
            <w:right w:w="108" w:type="dxa"/>
          </w:tblCellMar>
        </w:tblPrEx>
        <w:trPr>
          <w:trHeight w:val="329"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1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04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地表水</w:t>
            </w:r>
          </w:p>
        </w:tc>
        <w:tc>
          <w:tcPr>
            <w:tcW w:w="1803"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地表水功能敏感性</w:t>
            </w:r>
          </w:p>
        </w:tc>
        <w:tc>
          <w:tcPr>
            <w:tcW w:w="13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F1</w:t>
            </w:r>
            <w:r>
              <w:rPr>
                <w:rFonts w:hint="default" w:ascii="Times New Roman" w:hAnsi="Times New Roman" w:cs="Times New Roman"/>
                <w:iCs/>
                <w:color w:val="auto"/>
                <w:sz w:val="18"/>
                <w:szCs w:val="18"/>
                <w:highlight w:val="none"/>
              </w:rPr>
              <w:sym w:font="Wingdings 2" w:char="00A3"/>
            </w:r>
          </w:p>
        </w:tc>
        <w:tc>
          <w:tcPr>
            <w:tcW w:w="1794"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F2</w:t>
            </w:r>
            <w:r>
              <w:rPr>
                <w:rFonts w:hint="default" w:ascii="Times New Roman" w:hAnsi="Times New Roman" w:cs="Times New Roman"/>
                <w:iCs/>
                <w:color w:val="auto"/>
                <w:sz w:val="18"/>
                <w:szCs w:val="18"/>
                <w:highlight w:val="none"/>
              </w:rPr>
              <w:sym w:font="Wingdings 2" w:char="0052"/>
            </w:r>
          </w:p>
        </w:tc>
        <w:tc>
          <w:tcPr>
            <w:tcW w:w="15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F3</w:t>
            </w:r>
            <w:r>
              <w:rPr>
                <w:rFonts w:hint="default" w:ascii="Times New Roman" w:hAnsi="Times New Roman" w:cs="Times New Roman"/>
                <w:iCs/>
                <w:color w:val="auto"/>
                <w:sz w:val="18"/>
                <w:szCs w:val="18"/>
                <w:highlight w:val="none"/>
              </w:rPr>
              <w:sym w:font="Wingdings 2" w:char="00A3"/>
            </w:r>
          </w:p>
        </w:tc>
      </w:tr>
      <w:tr>
        <w:tblPrEx>
          <w:tblCellMar>
            <w:top w:w="0" w:type="dxa"/>
            <w:left w:w="108" w:type="dxa"/>
            <w:bottom w:w="0" w:type="dxa"/>
            <w:right w:w="108" w:type="dxa"/>
          </w:tblCellMar>
        </w:tblPrEx>
        <w:trPr>
          <w:trHeight w:val="329"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1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0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环境敏感目标分级</w:t>
            </w:r>
          </w:p>
        </w:tc>
        <w:tc>
          <w:tcPr>
            <w:tcW w:w="13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S1</w:t>
            </w:r>
            <w:r>
              <w:rPr>
                <w:rFonts w:hint="default" w:ascii="Times New Roman" w:hAnsi="Times New Roman" w:cs="Times New Roman"/>
                <w:iCs/>
                <w:color w:val="auto"/>
                <w:sz w:val="18"/>
                <w:szCs w:val="18"/>
                <w:highlight w:val="none"/>
              </w:rPr>
              <w:sym w:font="Wingdings 2" w:char="00A3"/>
            </w:r>
          </w:p>
        </w:tc>
        <w:tc>
          <w:tcPr>
            <w:tcW w:w="1794"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S2</w:t>
            </w:r>
            <w:r>
              <w:rPr>
                <w:rFonts w:hint="default" w:ascii="Times New Roman" w:hAnsi="Times New Roman" w:cs="Times New Roman"/>
                <w:iCs/>
                <w:color w:val="auto"/>
                <w:sz w:val="18"/>
                <w:szCs w:val="18"/>
                <w:highlight w:val="none"/>
              </w:rPr>
              <w:sym w:font="Wingdings 2" w:char="00A3"/>
            </w:r>
          </w:p>
        </w:tc>
        <w:tc>
          <w:tcPr>
            <w:tcW w:w="15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S3</w:t>
            </w:r>
            <w:r>
              <w:rPr>
                <w:rFonts w:hint="default" w:ascii="Times New Roman" w:hAnsi="Times New Roman" w:cs="Times New Roman"/>
                <w:iCs/>
                <w:color w:val="auto"/>
                <w:sz w:val="18"/>
                <w:szCs w:val="18"/>
                <w:highlight w:val="none"/>
              </w:rPr>
              <w:sym w:font="Wingdings 2" w:char="0052"/>
            </w:r>
          </w:p>
        </w:tc>
      </w:tr>
      <w:tr>
        <w:tblPrEx>
          <w:tblCellMar>
            <w:top w:w="0" w:type="dxa"/>
            <w:left w:w="108" w:type="dxa"/>
            <w:bottom w:w="0" w:type="dxa"/>
            <w:right w:w="108" w:type="dxa"/>
          </w:tblCellMar>
        </w:tblPrEx>
        <w:trPr>
          <w:trHeight w:val="329"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1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04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地下水</w:t>
            </w:r>
          </w:p>
        </w:tc>
        <w:tc>
          <w:tcPr>
            <w:tcW w:w="1803"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地下水功能敏感性</w:t>
            </w:r>
          </w:p>
        </w:tc>
        <w:tc>
          <w:tcPr>
            <w:tcW w:w="13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G1</w:t>
            </w:r>
            <w:r>
              <w:rPr>
                <w:rFonts w:hint="default" w:ascii="Times New Roman" w:hAnsi="Times New Roman" w:cs="Times New Roman"/>
                <w:iCs/>
                <w:color w:val="auto"/>
                <w:sz w:val="18"/>
                <w:szCs w:val="18"/>
                <w:highlight w:val="none"/>
              </w:rPr>
              <w:sym w:font="Wingdings 2" w:char="00A3"/>
            </w:r>
          </w:p>
        </w:tc>
        <w:tc>
          <w:tcPr>
            <w:tcW w:w="1794"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G2</w:t>
            </w:r>
            <w:r>
              <w:rPr>
                <w:rFonts w:hint="default" w:ascii="Times New Roman" w:hAnsi="Times New Roman" w:cs="Times New Roman"/>
                <w:iCs/>
                <w:color w:val="auto"/>
                <w:sz w:val="18"/>
                <w:szCs w:val="18"/>
                <w:highlight w:val="none"/>
              </w:rPr>
              <w:sym w:font="Wingdings 2" w:char="00A3"/>
            </w:r>
          </w:p>
        </w:tc>
        <w:tc>
          <w:tcPr>
            <w:tcW w:w="15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G3</w:t>
            </w:r>
            <w:r>
              <w:rPr>
                <w:rFonts w:hint="default" w:ascii="Times New Roman" w:hAnsi="Times New Roman" w:cs="Times New Roman"/>
                <w:iCs/>
                <w:color w:val="auto"/>
                <w:sz w:val="18"/>
                <w:szCs w:val="18"/>
                <w:highlight w:val="none"/>
              </w:rPr>
              <w:sym w:font="Wingdings 2" w:char="0052"/>
            </w:r>
          </w:p>
        </w:tc>
      </w:tr>
      <w:tr>
        <w:tblPrEx>
          <w:tblCellMar>
            <w:top w:w="0" w:type="dxa"/>
            <w:left w:w="108" w:type="dxa"/>
            <w:bottom w:w="0" w:type="dxa"/>
            <w:right w:w="108" w:type="dxa"/>
          </w:tblCellMar>
        </w:tblPrEx>
        <w:trPr>
          <w:trHeight w:val="329"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1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0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包气带防污性能</w:t>
            </w:r>
          </w:p>
        </w:tc>
        <w:tc>
          <w:tcPr>
            <w:tcW w:w="13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D1</w:t>
            </w:r>
            <w:r>
              <w:rPr>
                <w:rFonts w:hint="default" w:ascii="Times New Roman" w:hAnsi="Times New Roman" w:cs="Times New Roman"/>
                <w:iCs/>
                <w:color w:val="auto"/>
                <w:sz w:val="18"/>
                <w:szCs w:val="18"/>
                <w:highlight w:val="none"/>
              </w:rPr>
              <w:sym w:font="Wingdings 2" w:char="00A3"/>
            </w:r>
          </w:p>
        </w:tc>
        <w:tc>
          <w:tcPr>
            <w:tcW w:w="1794"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D2</w:t>
            </w:r>
            <w:r>
              <w:rPr>
                <w:rFonts w:hint="default" w:ascii="Times New Roman" w:hAnsi="Times New Roman" w:cs="Times New Roman"/>
                <w:iCs/>
                <w:color w:val="auto"/>
                <w:sz w:val="18"/>
                <w:szCs w:val="18"/>
                <w:highlight w:val="none"/>
              </w:rPr>
              <w:sym w:font="Wingdings 2" w:char="0052"/>
            </w:r>
          </w:p>
        </w:tc>
        <w:tc>
          <w:tcPr>
            <w:tcW w:w="15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D3</w:t>
            </w:r>
            <w:r>
              <w:rPr>
                <w:rFonts w:hint="default" w:ascii="Times New Roman" w:hAnsi="Times New Roman" w:cs="Times New Roman"/>
                <w:iCs/>
                <w:color w:val="auto"/>
                <w:sz w:val="18"/>
                <w:szCs w:val="18"/>
                <w:highlight w:val="none"/>
              </w:rPr>
              <w:sym w:font="Wingdings 2" w:char="00A3"/>
            </w:r>
          </w:p>
        </w:tc>
      </w:tr>
      <w:tr>
        <w:tblPrEx>
          <w:tblCellMar>
            <w:top w:w="0" w:type="dxa"/>
            <w:left w:w="108" w:type="dxa"/>
            <w:bottom w:w="0" w:type="dxa"/>
            <w:right w:w="108" w:type="dxa"/>
          </w:tblCellMar>
        </w:tblPrEx>
        <w:trPr>
          <w:trHeight w:val="329" w:hRule="atLeast"/>
          <w:jc w:val="center"/>
        </w:trPr>
        <w:tc>
          <w:tcPr>
            <w:tcW w:w="1713"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物质及工艺系统危险性</w:t>
            </w:r>
          </w:p>
        </w:tc>
        <w:tc>
          <w:tcPr>
            <w:tcW w:w="104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Q</w:t>
            </w:r>
          </w:p>
        </w:tc>
        <w:tc>
          <w:tcPr>
            <w:tcW w:w="1803"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kern w:val="0"/>
                <w:sz w:val="18"/>
                <w:szCs w:val="18"/>
                <w:highlight w:val="none"/>
              </w:rPr>
              <w:t>Q＜1</w:t>
            </w:r>
            <w:r>
              <w:rPr>
                <w:rFonts w:hint="default" w:ascii="Times New Roman" w:hAnsi="Times New Roman" w:cs="Times New Roman"/>
                <w:iCs/>
                <w:color w:val="auto"/>
                <w:sz w:val="18"/>
                <w:szCs w:val="18"/>
                <w:highlight w:val="none"/>
              </w:rPr>
              <w:sym w:font="Wingdings 2" w:char="00A3"/>
            </w:r>
          </w:p>
        </w:tc>
        <w:tc>
          <w:tcPr>
            <w:tcW w:w="13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kern w:val="0"/>
                <w:sz w:val="18"/>
                <w:szCs w:val="18"/>
                <w:highlight w:val="none"/>
              </w:rPr>
              <w:t>1≤Q＜10</w:t>
            </w:r>
            <w:r>
              <w:rPr>
                <w:rFonts w:hint="default" w:ascii="Times New Roman" w:hAnsi="Times New Roman" w:cs="Times New Roman"/>
                <w:iCs/>
                <w:color w:val="auto"/>
                <w:sz w:val="18"/>
                <w:szCs w:val="18"/>
                <w:highlight w:val="none"/>
              </w:rPr>
              <w:sym w:font="Wingdings 2" w:char="00A3"/>
            </w:r>
          </w:p>
        </w:tc>
        <w:tc>
          <w:tcPr>
            <w:tcW w:w="1794"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kern w:val="0"/>
                <w:sz w:val="18"/>
                <w:szCs w:val="18"/>
                <w:highlight w:val="none"/>
              </w:rPr>
              <w:t>10≤Q＜100</w:t>
            </w:r>
            <w:r>
              <w:rPr>
                <w:rFonts w:hint="default" w:ascii="Times New Roman" w:hAnsi="Times New Roman" w:cs="Times New Roman"/>
                <w:iCs/>
                <w:color w:val="auto"/>
                <w:sz w:val="18"/>
                <w:szCs w:val="18"/>
                <w:highlight w:val="none"/>
              </w:rPr>
              <w:sym w:font="Wingdings 2" w:char="0052"/>
            </w:r>
          </w:p>
        </w:tc>
        <w:tc>
          <w:tcPr>
            <w:tcW w:w="15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kern w:val="0"/>
                <w:sz w:val="18"/>
                <w:szCs w:val="18"/>
                <w:highlight w:val="none"/>
              </w:rPr>
              <w:t>Q≥100</w:t>
            </w:r>
            <w:r>
              <w:rPr>
                <w:rFonts w:hint="default" w:ascii="Times New Roman" w:hAnsi="Times New Roman" w:cs="Times New Roman"/>
                <w:iCs/>
                <w:color w:val="auto"/>
                <w:sz w:val="18"/>
                <w:szCs w:val="18"/>
                <w:highlight w:val="none"/>
              </w:rPr>
              <w:sym w:font="Wingdings 2" w:char="00A3"/>
            </w:r>
          </w:p>
        </w:tc>
      </w:tr>
      <w:tr>
        <w:tblPrEx>
          <w:tblCellMar>
            <w:top w:w="0" w:type="dxa"/>
            <w:left w:w="108" w:type="dxa"/>
            <w:bottom w:w="0" w:type="dxa"/>
            <w:right w:w="108" w:type="dxa"/>
          </w:tblCellMar>
        </w:tblPrEx>
        <w:trPr>
          <w:trHeight w:val="329" w:hRule="atLeast"/>
          <w:jc w:val="center"/>
        </w:trPr>
        <w:tc>
          <w:tcPr>
            <w:tcW w:w="171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04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M</w:t>
            </w:r>
          </w:p>
        </w:tc>
        <w:tc>
          <w:tcPr>
            <w:tcW w:w="1803"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M1</w:t>
            </w:r>
            <w:r>
              <w:rPr>
                <w:rFonts w:hint="default" w:ascii="Times New Roman" w:hAnsi="Times New Roman" w:cs="Times New Roman"/>
                <w:color w:val="auto"/>
                <w:sz w:val="18"/>
                <w:szCs w:val="18"/>
                <w:highlight w:val="none"/>
              </w:rPr>
              <w:sym w:font="Wingdings 2" w:char="00A3"/>
            </w:r>
          </w:p>
        </w:tc>
        <w:tc>
          <w:tcPr>
            <w:tcW w:w="139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M2</w:t>
            </w:r>
            <w:r>
              <w:rPr>
                <w:rFonts w:hint="default" w:ascii="Times New Roman" w:hAnsi="Times New Roman" w:cs="Times New Roman"/>
                <w:color w:val="auto"/>
                <w:sz w:val="18"/>
                <w:szCs w:val="18"/>
                <w:highlight w:val="none"/>
              </w:rPr>
              <w:sym w:font="Wingdings 2" w:char="00A3"/>
            </w:r>
          </w:p>
        </w:tc>
        <w:tc>
          <w:tcPr>
            <w:tcW w:w="1794"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M3</w:t>
            </w:r>
            <w:r>
              <w:rPr>
                <w:rFonts w:hint="default" w:ascii="Times New Roman" w:hAnsi="Times New Roman" w:cs="Times New Roman"/>
                <w:color w:val="auto"/>
                <w:sz w:val="18"/>
                <w:szCs w:val="18"/>
                <w:highlight w:val="none"/>
              </w:rPr>
              <w:sym w:font="Wingdings 2" w:char="00A3"/>
            </w:r>
          </w:p>
        </w:tc>
        <w:tc>
          <w:tcPr>
            <w:tcW w:w="1540"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M4</w:t>
            </w:r>
            <w:r>
              <w:rPr>
                <w:rFonts w:hint="default" w:ascii="Times New Roman" w:hAnsi="Times New Roman" w:cs="Times New Roman"/>
                <w:color w:val="auto"/>
                <w:sz w:val="18"/>
                <w:szCs w:val="18"/>
                <w:highlight w:val="none"/>
              </w:rPr>
              <w:sym w:font="Wingdings 2" w:char="0052"/>
            </w:r>
          </w:p>
        </w:tc>
      </w:tr>
      <w:tr>
        <w:tblPrEx>
          <w:tblCellMar>
            <w:top w:w="0" w:type="dxa"/>
            <w:left w:w="108" w:type="dxa"/>
            <w:bottom w:w="0" w:type="dxa"/>
            <w:right w:w="108" w:type="dxa"/>
          </w:tblCellMar>
        </w:tblPrEx>
        <w:trPr>
          <w:trHeight w:val="329" w:hRule="atLeast"/>
          <w:jc w:val="center"/>
        </w:trPr>
        <w:tc>
          <w:tcPr>
            <w:tcW w:w="171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04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P</w:t>
            </w:r>
          </w:p>
        </w:tc>
        <w:tc>
          <w:tcPr>
            <w:tcW w:w="1803"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P1</w:t>
            </w:r>
            <w:r>
              <w:rPr>
                <w:rFonts w:hint="default" w:ascii="Times New Roman" w:hAnsi="Times New Roman" w:cs="Times New Roman"/>
                <w:color w:val="auto"/>
                <w:sz w:val="18"/>
                <w:szCs w:val="18"/>
                <w:highlight w:val="none"/>
              </w:rPr>
              <w:sym w:font="Wingdings 2" w:char="00A3"/>
            </w:r>
          </w:p>
        </w:tc>
        <w:tc>
          <w:tcPr>
            <w:tcW w:w="139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P2</w:t>
            </w:r>
            <w:r>
              <w:rPr>
                <w:rFonts w:hint="default" w:ascii="Times New Roman" w:hAnsi="Times New Roman" w:cs="Times New Roman"/>
                <w:color w:val="auto"/>
                <w:sz w:val="18"/>
                <w:szCs w:val="18"/>
                <w:highlight w:val="none"/>
              </w:rPr>
              <w:sym w:font="Wingdings 2" w:char="00A3"/>
            </w:r>
          </w:p>
        </w:tc>
        <w:tc>
          <w:tcPr>
            <w:tcW w:w="1794"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P3</w:t>
            </w:r>
            <w:r>
              <w:rPr>
                <w:rFonts w:hint="default" w:ascii="Times New Roman" w:hAnsi="Times New Roman" w:cs="Times New Roman"/>
                <w:color w:val="auto"/>
                <w:sz w:val="18"/>
                <w:szCs w:val="18"/>
                <w:highlight w:val="none"/>
              </w:rPr>
              <w:sym w:font="Wingdings 2" w:char="00A3"/>
            </w:r>
          </w:p>
        </w:tc>
        <w:tc>
          <w:tcPr>
            <w:tcW w:w="1540"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P4</w:t>
            </w:r>
            <w:r>
              <w:rPr>
                <w:rFonts w:hint="default" w:ascii="Times New Roman" w:hAnsi="Times New Roman" w:cs="Times New Roman"/>
                <w:color w:val="auto"/>
                <w:sz w:val="18"/>
                <w:szCs w:val="18"/>
                <w:highlight w:val="none"/>
              </w:rPr>
              <w:sym w:font="Wingdings 2" w:char="0052"/>
            </w:r>
          </w:p>
        </w:tc>
      </w:tr>
      <w:tr>
        <w:tblPrEx>
          <w:tblCellMar>
            <w:top w:w="0" w:type="dxa"/>
            <w:left w:w="108" w:type="dxa"/>
            <w:bottom w:w="0" w:type="dxa"/>
            <w:right w:w="108" w:type="dxa"/>
          </w:tblCellMar>
        </w:tblPrEx>
        <w:trPr>
          <w:trHeight w:val="329" w:hRule="atLeast"/>
          <w:jc w:val="center"/>
        </w:trPr>
        <w:tc>
          <w:tcPr>
            <w:tcW w:w="1713"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环境敏感程度</w:t>
            </w:r>
          </w:p>
        </w:tc>
        <w:tc>
          <w:tcPr>
            <w:tcW w:w="104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大气</w:t>
            </w:r>
          </w:p>
        </w:tc>
        <w:tc>
          <w:tcPr>
            <w:tcW w:w="1803"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E1</w:t>
            </w:r>
            <w:r>
              <w:rPr>
                <w:rFonts w:hint="default" w:ascii="Times New Roman" w:hAnsi="Times New Roman" w:cs="Times New Roman"/>
                <w:iCs/>
                <w:color w:val="auto"/>
                <w:sz w:val="18"/>
                <w:szCs w:val="18"/>
                <w:highlight w:val="none"/>
              </w:rPr>
              <w:sym w:font="Wingdings 2" w:char="00A3"/>
            </w:r>
          </w:p>
        </w:tc>
        <w:tc>
          <w:tcPr>
            <w:tcW w:w="13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E2</w:t>
            </w:r>
            <w:r>
              <w:rPr>
                <w:rFonts w:hint="default" w:ascii="Times New Roman" w:hAnsi="Times New Roman" w:cs="Times New Roman"/>
                <w:iCs/>
                <w:color w:val="auto"/>
                <w:sz w:val="18"/>
                <w:szCs w:val="18"/>
                <w:highlight w:val="none"/>
              </w:rPr>
              <w:sym w:font="Wingdings 2" w:char="0052"/>
            </w:r>
          </w:p>
        </w:tc>
        <w:tc>
          <w:tcPr>
            <w:tcW w:w="3334" w:type="dxa"/>
            <w:gridSpan w:val="5"/>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E3</w:t>
            </w:r>
            <w:r>
              <w:rPr>
                <w:rFonts w:hint="default" w:ascii="Times New Roman" w:hAnsi="Times New Roman" w:cs="Times New Roman"/>
                <w:iCs/>
                <w:color w:val="auto"/>
                <w:sz w:val="18"/>
                <w:szCs w:val="18"/>
                <w:highlight w:val="none"/>
              </w:rPr>
              <w:sym w:font="Wingdings 2" w:char="00A3"/>
            </w:r>
          </w:p>
        </w:tc>
      </w:tr>
      <w:tr>
        <w:tblPrEx>
          <w:tblCellMar>
            <w:top w:w="0" w:type="dxa"/>
            <w:left w:w="108" w:type="dxa"/>
            <w:bottom w:w="0" w:type="dxa"/>
            <w:right w:w="108" w:type="dxa"/>
          </w:tblCellMar>
        </w:tblPrEx>
        <w:trPr>
          <w:trHeight w:val="329" w:hRule="atLeast"/>
          <w:jc w:val="center"/>
        </w:trPr>
        <w:tc>
          <w:tcPr>
            <w:tcW w:w="171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04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地表水</w:t>
            </w:r>
          </w:p>
        </w:tc>
        <w:tc>
          <w:tcPr>
            <w:tcW w:w="1803"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E1</w:t>
            </w:r>
            <w:r>
              <w:rPr>
                <w:rFonts w:hint="default" w:ascii="Times New Roman" w:hAnsi="Times New Roman" w:cs="Times New Roman"/>
                <w:iCs/>
                <w:color w:val="auto"/>
                <w:sz w:val="18"/>
                <w:szCs w:val="18"/>
                <w:highlight w:val="none"/>
              </w:rPr>
              <w:sym w:font="Wingdings 2" w:char="00A3"/>
            </w:r>
          </w:p>
        </w:tc>
        <w:tc>
          <w:tcPr>
            <w:tcW w:w="13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E2</w:t>
            </w:r>
            <w:r>
              <w:rPr>
                <w:rFonts w:hint="default" w:ascii="Times New Roman" w:hAnsi="Times New Roman" w:cs="Times New Roman"/>
                <w:iCs/>
                <w:color w:val="auto"/>
                <w:sz w:val="18"/>
                <w:szCs w:val="18"/>
                <w:highlight w:val="none"/>
              </w:rPr>
              <w:sym w:font="Wingdings 2" w:char="0052"/>
            </w:r>
          </w:p>
        </w:tc>
        <w:tc>
          <w:tcPr>
            <w:tcW w:w="3334" w:type="dxa"/>
            <w:gridSpan w:val="5"/>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E3</w:t>
            </w:r>
            <w:r>
              <w:rPr>
                <w:rFonts w:hint="default" w:ascii="Times New Roman" w:hAnsi="Times New Roman" w:cs="Times New Roman"/>
                <w:iCs/>
                <w:color w:val="auto"/>
                <w:sz w:val="18"/>
                <w:szCs w:val="18"/>
                <w:highlight w:val="none"/>
              </w:rPr>
              <w:sym w:font="Wingdings 2" w:char="00A3"/>
            </w:r>
          </w:p>
        </w:tc>
      </w:tr>
      <w:tr>
        <w:tblPrEx>
          <w:tblCellMar>
            <w:top w:w="0" w:type="dxa"/>
            <w:left w:w="108" w:type="dxa"/>
            <w:bottom w:w="0" w:type="dxa"/>
            <w:right w:w="108" w:type="dxa"/>
          </w:tblCellMar>
        </w:tblPrEx>
        <w:trPr>
          <w:trHeight w:val="329" w:hRule="atLeast"/>
          <w:jc w:val="center"/>
        </w:trPr>
        <w:tc>
          <w:tcPr>
            <w:tcW w:w="171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04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地下水</w:t>
            </w:r>
          </w:p>
        </w:tc>
        <w:tc>
          <w:tcPr>
            <w:tcW w:w="1803"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E1</w:t>
            </w:r>
            <w:r>
              <w:rPr>
                <w:rFonts w:hint="default" w:ascii="Times New Roman" w:hAnsi="Times New Roman" w:cs="Times New Roman"/>
                <w:iCs/>
                <w:color w:val="auto"/>
                <w:sz w:val="18"/>
                <w:szCs w:val="18"/>
                <w:highlight w:val="none"/>
              </w:rPr>
              <w:sym w:font="Wingdings 2" w:char="00A3"/>
            </w:r>
          </w:p>
        </w:tc>
        <w:tc>
          <w:tcPr>
            <w:tcW w:w="13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E2</w:t>
            </w:r>
            <w:r>
              <w:rPr>
                <w:rFonts w:hint="default" w:ascii="Times New Roman" w:hAnsi="Times New Roman" w:cs="Times New Roman"/>
                <w:iCs/>
                <w:color w:val="auto"/>
                <w:sz w:val="18"/>
                <w:szCs w:val="18"/>
                <w:highlight w:val="none"/>
              </w:rPr>
              <w:sym w:font="Wingdings 2" w:char="00A3"/>
            </w:r>
          </w:p>
        </w:tc>
        <w:tc>
          <w:tcPr>
            <w:tcW w:w="3334" w:type="dxa"/>
            <w:gridSpan w:val="5"/>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E3</w:t>
            </w:r>
            <w:r>
              <w:rPr>
                <w:rFonts w:hint="default" w:ascii="Times New Roman" w:hAnsi="Times New Roman" w:cs="Times New Roman"/>
                <w:iCs/>
                <w:color w:val="auto"/>
                <w:sz w:val="18"/>
                <w:szCs w:val="18"/>
                <w:highlight w:val="none"/>
              </w:rPr>
              <w:sym w:font="Wingdings 2" w:char="0052"/>
            </w:r>
          </w:p>
        </w:tc>
      </w:tr>
      <w:tr>
        <w:tblPrEx>
          <w:tblCellMar>
            <w:top w:w="0" w:type="dxa"/>
            <w:left w:w="108" w:type="dxa"/>
            <w:bottom w:w="0" w:type="dxa"/>
            <w:right w:w="108" w:type="dxa"/>
          </w:tblCellMar>
        </w:tblPrEx>
        <w:trPr>
          <w:trHeight w:val="329" w:hRule="atLeast"/>
          <w:jc w:val="center"/>
        </w:trPr>
        <w:tc>
          <w:tcPr>
            <w:tcW w:w="171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环境风险潜势</w:t>
            </w:r>
          </w:p>
        </w:tc>
        <w:tc>
          <w:tcPr>
            <w:tcW w:w="104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kern w:val="0"/>
                <w:sz w:val="18"/>
                <w:szCs w:val="18"/>
                <w:highlight w:val="none"/>
              </w:rPr>
              <w:t>Ⅳ</w:t>
            </w:r>
            <w:r>
              <w:rPr>
                <w:rFonts w:hint="default" w:ascii="Times New Roman" w:hAnsi="Times New Roman" w:cs="Times New Roman"/>
                <w:iCs/>
                <w:color w:val="auto"/>
                <w:kern w:val="0"/>
                <w:sz w:val="18"/>
                <w:szCs w:val="18"/>
                <w:highlight w:val="none"/>
                <w:vertAlign w:val="superscript"/>
              </w:rPr>
              <w:t>+</w:t>
            </w:r>
            <w:r>
              <w:rPr>
                <w:rFonts w:hint="default" w:ascii="Times New Roman" w:hAnsi="Times New Roman" w:cs="Times New Roman"/>
                <w:iCs/>
                <w:color w:val="auto"/>
                <w:sz w:val="18"/>
                <w:szCs w:val="18"/>
                <w:highlight w:val="none"/>
              </w:rPr>
              <w:sym w:font="Wingdings 2" w:char="00A3"/>
            </w:r>
          </w:p>
        </w:tc>
        <w:tc>
          <w:tcPr>
            <w:tcW w:w="1803"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kern w:val="0"/>
                <w:sz w:val="18"/>
                <w:szCs w:val="18"/>
                <w:highlight w:val="none"/>
              </w:rPr>
              <w:t>Ⅳ</w:t>
            </w:r>
            <w:r>
              <w:rPr>
                <w:rFonts w:hint="default" w:ascii="Times New Roman" w:hAnsi="Times New Roman" w:cs="Times New Roman"/>
                <w:iCs/>
                <w:color w:val="auto"/>
                <w:sz w:val="18"/>
                <w:szCs w:val="18"/>
                <w:highlight w:val="none"/>
              </w:rPr>
              <w:sym w:font="Wingdings 2" w:char="00A3"/>
            </w:r>
          </w:p>
        </w:tc>
        <w:tc>
          <w:tcPr>
            <w:tcW w:w="139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Ⅲ</w:t>
            </w:r>
            <w:r>
              <w:rPr>
                <w:rFonts w:hint="default" w:ascii="Times New Roman" w:hAnsi="Times New Roman" w:cs="Times New Roman"/>
                <w:color w:val="auto"/>
                <w:sz w:val="18"/>
                <w:szCs w:val="18"/>
                <w:highlight w:val="none"/>
              </w:rPr>
              <w:sym w:font="Wingdings 2" w:char="00A3"/>
            </w:r>
          </w:p>
        </w:tc>
        <w:tc>
          <w:tcPr>
            <w:tcW w:w="138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Ⅱ</w:t>
            </w:r>
            <w:r>
              <w:rPr>
                <w:rFonts w:hint="default" w:ascii="Times New Roman" w:hAnsi="Times New Roman" w:cs="Times New Roman"/>
                <w:color w:val="auto"/>
                <w:sz w:val="18"/>
                <w:szCs w:val="18"/>
                <w:highlight w:val="none"/>
              </w:rPr>
              <w:sym w:font="Wingdings 2" w:char="0052"/>
            </w:r>
          </w:p>
        </w:tc>
        <w:tc>
          <w:tcPr>
            <w:tcW w:w="1945"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Ⅰ</w:t>
            </w:r>
            <w:r>
              <w:rPr>
                <w:rFonts w:hint="default" w:ascii="Times New Roman" w:hAnsi="Times New Roman" w:cs="Times New Roman"/>
                <w:color w:val="auto"/>
                <w:sz w:val="18"/>
                <w:szCs w:val="18"/>
                <w:highlight w:val="none"/>
              </w:rPr>
              <w:sym w:font="Wingdings 2" w:char="00A3"/>
            </w:r>
          </w:p>
        </w:tc>
      </w:tr>
      <w:tr>
        <w:tblPrEx>
          <w:tblCellMar>
            <w:top w:w="0" w:type="dxa"/>
            <w:left w:w="108" w:type="dxa"/>
            <w:bottom w:w="0" w:type="dxa"/>
            <w:right w:w="108" w:type="dxa"/>
          </w:tblCellMar>
        </w:tblPrEx>
        <w:trPr>
          <w:trHeight w:val="329" w:hRule="atLeast"/>
          <w:jc w:val="center"/>
        </w:trPr>
        <w:tc>
          <w:tcPr>
            <w:tcW w:w="171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评价等级</w:t>
            </w:r>
          </w:p>
        </w:tc>
        <w:tc>
          <w:tcPr>
            <w:tcW w:w="2848"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一级</w:t>
            </w:r>
            <w:r>
              <w:rPr>
                <w:rFonts w:hint="default" w:ascii="Times New Roman" w:hAnsi="Times New Roman" w:cs="Times New Roman"/>
                <w:iCs/>
                <w:color w:val="auto"/>
                <w:sz w:val="18"/>
                <w:szCs w:val="18"/>
                <w:highlight w:val="none"/>
              </w:rPr>
              <w:sym w:font="Wingdings 2" w:char="00A3"/>
            </w:r>
          </w:p>
        </w:tc>
        <w:tc>
          <w:tcPr>
            <w:tcW w:w="139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二级</w:t>
            </w:r>
            <w:r>
              <w:rPr>
                <w:rFonts w:hint="default" w:ascii="Times New Roman" w:hAnsi="Times New Roman" w:cs="Times New Roman"/>
                <w:iCs/>
                <w:color w:val="auto"/>
                <w:sz w:val="18"/>
                <w:szCs w:val="18"/>
                <w:highlight w:val="none"/>
              </w:rPr>
              <w:sym w:font="Wingdings 2" w:char="00A3"/>
            </w:r>
          </w:p>
        </w:tc>
        <w:tc>
          <w:tcPr>
            <w:tcW w:w="1389"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三级</w:t>
            </w:r>
            <w:r>
              <w:rPr>
                <w:rFonts w:hint="default" w:ascii="Times New Roman" w:hAnsi="Times New Roman" w:cs="Times New Roman"/>
                <w:iCs/>
                <w:color w:val="auto"/>
                <w:sz w:val="18"/>
                <w:szCs w:val="18"/>
                <w:highlight w:val="none"/>
              </w:rPr>
              <w:sym w:font="Wingdings 2" w:char="0052"/>
            </w:r>
          </w:p>
        </w:tc>
        <w:tc>
          <w:tcPr>
            <w:tcW w:w="1945"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简单分析</w:t>
            </w:r>
            <w:r>
              <w:rPr>
                <w:rFonts w:hint="default" w:ascii="Times New Roman" w:hAnsi="Times New Roman" w:cs="Times New Roman"/>
                <w:iCs/>
                <w:color w:val="auto"/>
                <w:sz w:val="18"/>
                <w:szCs w:val="18"/>
                <w:highlight w:val="none"/>
              </w:rPr>
              <w:sym w:font="Wingdings 2" w:char="00A3"/>
            </w:r>
          </w:p>
        </w:tc>
      </w:tr>
      <w:tr>
        <w:tblPrEx>
          <w:tblCellMar>
            <w:top w:w="0" w:type="dxa"/>
            <w:left w:w="108" w:type="dxa"/>
            <w:bottom w:w="0" w:type="dxa"/>
            <w:right w:w="108" w:type="dxa"/>
          </w:tblCellMar>
        </w:tblPrEx>
        <w:trPr>
          <w:trHeight w:val="329" w:hRule="atLeast"/>
          <w:jc w:val="center"/>
        </w:trPr>
        <w:tc>
          <w:tcPr>
            <w:tcW w:w="59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风险识别</w:t>
            </w:r>
          </w:p>
        </w:tc>
        <w:tc>
          <w:tcPr>
            <w:tcW w:w="112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物质危险性</w:t>
            </w:r>
          </w:p>
        </w:tc>
        <w:tc>
          <w:tcPr>
            <w:tcW w:w="2848"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有毒有害</w:t>
            </w:r>
            <w:r>
              <w:rPr>
                <w:rFonts w:hint="default" w:ascii="Times New Roman" w:hAnsi="Times New Roman" w:cs="Times New Roman"/>
                <w:iCs/>
                <w:color w:val="auto"/>
                <w:sz w:val="18"/>
                <w:szCs w:val="18"/>
                <w:highlight w:val="none"/>
              </w:rPr>
              <w:sym w:font="Wingdings 2" w:char="0052"/>
            </w:r>
          </w:p>
        </w:tc>
        <w:tc>
          <w:tcPr>
            <w:tcW w:w="4725" w:type="dxa"/>
            <w:gridSpan w:val="6"/>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易燃易爆</w:t>
            </w:r>
            <w:r>
              <w:rPr>
                <w:rFonts w:hint="default" w:ascii="Times New Roman" w:hAnsi="Times New Roman" w:cs="Times New Roman"/>
                <w:iCs/>
                <w:color w:val="auto"/>
                <w:sz w:val="18"/>
                <w:szCs w:val="18"/>
                <w:highlight w:val="none"/>
              </w:rPr>
              <w:sym w:font="Wingdings 2" w:char="0052"/>
            </w:r>
          </w:p>
        </w:tc>
      </w:tr>
      <w:tr>
        <w:tblPrEx>
          <w:tblCellMar>
            <w:top w:w="0" w:type="dxa"/>
            <w:left w:w="108" w:type="dxa"/>
            <w:bottom w:w="0" w:type="dxa"/>
            <w:right w:w="108" w:type="dxa"/>
          </w:tblCellMar>
        </w:tblPrEx>
        <w:trPr>
          <w:trHeight w:val="329"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12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环境风险</w:t>
            </w:r>
          </w:p>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类型</w:t>
            </w:r>
          </w:p>
        </w:tc>
        <w:tc>
          <w:tcPr>
            <w:tcW w:w="2848"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泄漏</w:t>
            </w:r>
            <w:r>
              <w:rPr>
                <w:rFonts w:hint="default" w:ascii="Times New Roman" w:hAnsi="Times New Roman" w:cs="Times New Roman"/>
                <w:iCs/>
                <w:color w:val="auto"/>
                <w:sz w:val="18"/>
                <w:szCs w:val="18"/>
                <w:highlight w:val="none"/>
              </w:rPr>
              <w:sym w:font="Wingdings 2" w:char="0052"/>
            </w:r>
          </w:p>
        </w:tc>
        <w:tc>
          <w:tcPr>
            <w:tcW w:w="4725" w:type="dxa"/>
            <w:gridSpan w:val="6"/>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火灾、爆炸引发半生/次生污染物排放</w:t>
            </w:r>
            <w:r>
              <w:rPr>
                <w:rFonts w:hint="default" w:ascii="Times New Roman" w:hAnsi="Times New Roman" w:cs="Times New Roman"/>
                <w:iCs/>
                <w:color w:val="auto"/>
                <w:sz w:val="18"/>
                <w:szCs w:val="18"/>
                <w:highlight w:val="none"/>
              </w:rPr>
              <w:sym w:font="Wingdings 2" w:char="0052"/>
            </w:r>
          </w:p>
        </w:tc>
      </w:tr>
      <w:tr>
        <w:tblPrEx>
          <w:tblCellMar>
            <w:top w:w="0" w:type="dxa"/>
            <w:left w:w="108" w:type="dxa"/>
            <w:bottom w:w="0" w:type="dxa"/>
            <w:right w:w="108" w:type="dxa"/>
          </w:tblCellMar>
        </w:tblPrEx>
        <w:trPr>
          <w:trHeight w:val="329"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12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影响途径</w:t>
            </w:r>
          </w:p>
        </w:tc>
        <w:tc>
          <w:tcPr>
            <w:tcW w:w="2848"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大气</w:t>
            </w:r>
            <w:r>
              <w:rPr>
                <w:rFonts w:hint="default" w:ascii="Times New Roman" w:hAnsi="Times New Roman" w:cs="Times New Roman"/>
                <w:iCs/>
                <w:color w:val="auto"/>
                <w:sz w:val="18"/>
                <w:szCs w:val="18"/>
                <w:highlight w:val="none"/>
              </w:rPr>
              <w:sym w:font="Wingdings 2" w:char="0052"/>
            </w:r>
          </w:p>
        </w:tc>
        <w:tc>
          <w:tcPr>
            <w:tcW w:w="254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地表水</w:t>
            </w:r>
            <w:r>
              <w:rPr>
                <w:rFonts w:hint="default" w:ascii="Times New Roman" w:hAnsi="Times New Roman" w:cs="Times New Roman"/>
                <w:iCs/>
                <w:color w:val="auto"/>
                <w:sz w:val="18"/>
                <w:szCs w:val="18"/>
                <w:highlight w:val="none"/>
              </w:rPr>
              <w:sym w:font="Wingdings 2" w:char="0052"/>
            </w:r>
          </w:p>
        </w:tc>
        <w:tc>
          <w:tcPr>
            <w:tcW w:w="218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地下水</w:t>
            </w:r>
            <w:r>
              <w:rPr>
                <w:rFonts w:hint="default" w:ascii="Times New Roman" w:hAnsi="Times New Roman" w:cs="Times New Roman"/>
                <w:iCs/>
                <w:color w:val="auto"/>
                <w:sz w:val="18"/>
                <w:szCs w:val="18"/>
                <w:highlight w:val="none"/>
              </w:rPr>
              <w:sym w:font="Wingdings 2" w:char="0052"/>
            </w:r>
          </w:p>
        </w:tc>
      </w:tr>
      <w:tr>
        <w:tblPrEx>
          <w:tblCellMar>
            <w:top w:w="0" w:type="dxa"/>
            <w:left w:w="108" w:type="dxa"/>
            <w:bottom w:w="0" w:type="dxa"/>
            <w:right w:w="108" w:type="dxa"/>
          </w:tblCellMar>
        </w:tblPrEx>
        <w:trPr>
          <w:trHeight w:val="329" w:hRule="atLeast"/>
          <w:jc w:val="center"/>
        </w:trPr>
        <w:tc>
          <w:tcPr>
            <w:tcW w:w="171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事故情形分析</w:t>
            </w:r>
          </w:p>
        </w:tc>
        <w:tc>
          <w:tcPr>
            <w:tcW w:w="184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源强设定方法</w:t>
            </w:r>
          </w:p>
        </w:tc>
        <w:tc>
          <w:tcPr>
            <w:tcW w:w="100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计算法</w:t>
            </w:r>
            <w:r>
              <w:rPr>
                <w:rFonts w:hint="default" w:ascii="Times New Roman" w:hAnsi="Times New Roman" w:cs="Times New Roman"/>
                <w:iCs/>
                <w:color w:val="auto"/>
                <w:sz w:val="18"/>
                <w:szCs w:val="18"/>
                <w:highlight w:val="none"/>
              </w:rPr>
              <w:sym w:font="Wingdings 2" w:char="00A3"/>
            </w:r>
          </w:p>
        </w:tc>
        <w:tc>
          <w:tcPr>
            <w:tcW w:w="254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经验估算法</w:t>
            </w:r>
            <w:r>
              <w:rPr>
                <w:rFonts w:hint="default" w:ascii="Times New Roman" w:hAnsi="Times New Roman" w:cs="Times New Roman"/>
                <w:iCs/>
                <w:color w:val="auto"/>
                <w:sz w:val="18"/>
                <w:szCs w:val="18"/>
                <w:highlight w:val="none"/>
              </w:rPr>
              <w:sym w:font="Wingdings 2" w:char="00A3"/>
            </w:r>
          </w:p>
        </w:tc>
        <w:tc>
          <w:tcPr>
            <w:tcW w:w="218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其他估算法</w:t>
            </w:r>
            <w:r>
              <w:rPr>
                <w:rFonts w:hint="default" w:ascii="Times New Roman" w:hAnsi="Times New Roman" w:cs="Times New Roman"/>
                <w:iCs/>
                <w:color w:val="auto"/>
                <w:sz w:val="18"/>
                <w:szCs w:val="18"/>
                <w:highlight w:val="none"/>
              </w:rPr>
              <w:sym w:font="Wingdings 2" w:char="0052"/>
            </w:r>
          </w:p>
        </w:tc>
      </w:tr>
      <w:tr>
        <w:tblPrEx>
          <w:tblCellMar>
            <w:top w:w="0" w:type="dxa"/>
            <w:left w:w="108" w:type="dxa"/>
            <w:bottom w:w="0" w:type="dxa"/>
            <w:right w:w="108" w:type="dxa"/>
          </w:tblCellMar>
        </w:tblPrEx>
        <w:trPr>
          <w:trHeight w:val="329" w:hRule="atLeast"/>
          <w:jc w:val="center"/>
        </w:trPr>
        <w:tc>
          <w:tcPr>
            <w:tcW w:w="59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风险预测与评价</w:t>
            </w:r>
          </w:p>
        </w:tc>
        <w:tc>
          <w:tcPr>
            <w:tcW w:w="112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大气</w:t>
            </w:r>
          </w:p>
        </w:tc>
        <w:tc>
          <w:tcPr>
            <w:tcW w:w="184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预测模型</w:t>
            </w:r>
          </w:p>
        </w:tc>
        <w:tc>
          <w:tcPr>
            <w:tcW w:w="100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SLAB</w:t>
            </w:r>
            <w:r>
              <w:rPr>
                <w:rFonts w:hint="default" w:ascii="Times New Roman" w:hAnsi="Times New Roman" w:cs="Times New Roman"/>
                <w:iCs/>
                <w:color w:val="auto"/>
                <w:sz w:val="18"/>
                <w:szCs w:val="18"/>
                <w:highlight w:val="none"/>
              </w:rPr>
              <w:sym w:font="Wingdings 2" w:char="00A3"/>
            </w:r>
          </w:p>
        </w:tc>
        <w:tc>
          <w:tcPr>
            <w:tcW w:w="254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AFTOX</w:t>
            </w:r>
            <w:r>
              <w:rPr>
                <w:rFonts w:hint="default" w:ascii="Times New Roman" w:hAnsi="Times New Roman" w:cs="Times New Roman"/>
                <w:iCs/>
                <w:color w:val="auto"/>
                <w:sz w:val="18"/>
                <w:szCs w:val="18"/>
                <w:highlight w:val="none"/>
              </w:rPr>
              <w:sym w:font="Wingdings 2" w:char="00A3"/>
            </w:r>
          </w:p>
        </w:tc>
        <w:tc>
          <w:tcPr>
            <w:tcW w:w="218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其他</w:t>
            </w:r>
            <w:r>
              <w:rPr>
                <w:rFonts w:hint="default" w:ascii="Times New Roman" w:hAnsi="Times New Roman" w:cs="Times New Roman"/>
                <w:iCs/>
                <w:color w:val="auto"/>
                <w:sz w:val="18"/>
                <w:szCs w:val="18"/>
                <w:highlight w:val="none"/>
              </w:rPr>
              <w:sym w:font="Wingdings 2" w:char="00A3"/>
            </w:r>
          </w:p>
        </w:tc>
      </w:tr>
      <w:tr>
        <w:tblPrEx>
          <w:tblCellMar>
            <w:top w:w="0" w:type="dxa"/>
            <w:left w:w="108" w:type="dxa"/>
            <w:bottom w:w="0" w:type="dxa"/>
            <w:right w:w="108" w:type="dxa"/>
          </w:tblCellMar>
        </w:tblPrEx>
        <w:trPr>
          <w:trHeight w:val="329"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1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840"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预测结果</w:t>
            </w:r>
          </w:p>
        </w:tc>
        <w:tc>
          <w:tcPr>
            <w:tcW w:w="5733"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iCs/>
                <w:color w:val="auto"/>
                <w:sz w:val="15"/>
                <w:szCs w:val="15"/>
                <w:highlight w:val="none"/>
                <w:lang w:val="en-US" w:eastAsia="zh-CN"/>
              </w:rPr>
            </w:pPr>
            <w:r>
              <w:rPr>
                <w:rFonts w:hint="eastAsia" w:cs="Times New Roman"/>
                <w:iCs/>
                <w:color w:val="auto"/>
                <w:sz w:val="15"/>
                <w:szCs w:val="15"/>
                <w:highlight w:val="none"/>
                <w:lang w:val="en-US" w:eastAsia="zh-CN"/>
              </w:rPr>
              <w:t>/</w:t>
            </w:r>
          </w:p>
        </w:tc>
      </w:tr>
      <w:tr>
        <w:tblPrEx>
          <w:tblCellMar>
            <w:top w:w="0" w:type="dxa"/>
            <w:left w:w="108" w:type="dxa"/>
            <w:bottom w:w="0" w:type="dxa"/>
            <w:right w:w="108" w:type="dxa"/>
          </w:tblCellMar>
        </w:tblPrEx>
        <w:trPr>
          <w:trHeight w:val="329"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12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地表水</w:t>
            </w:r>
          </w:p>
        </w:tc>
        <w:tc>
          <w:tcPr>
            <w:tcW w:w="7573" w:type="dxa"/>
            <w:gridSpan w:val="10"/>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iCs/>
                <w:color w:val="auto"/>
                <w:sz w:val="18"/>
                <w:szCs w:val="18"/>
                <w:highlight w:val="none"/>
                <w:lang w:val="en-US" w:eastAsia="zh-CN"/>
              </w:rPr>
            </w:pPr>
            <w:r>
              <w:rPr>
                <w:rFonts w:hint="default" w:ascii="Times New Roman" w:hAnsi="Times New Roman" w:cs="Times New Roman"/>
                <w:iCs/>
                <w:color w:val="auto"/>
                <w:sz w:val="18"/>
                <w:szCs w:val="18"/>
                <w:highlight w:val="none"/>
                <w:lang w:val="en-US" w:eastAsia="zh-CN"/>
              </w:rPr>
              <w:t>/</w:t>
            </w:r>
          </w:p>
        </w:tc>
      </w:tr>
      <w:tr>
        <w:tblPrEx>
          <w:tblCellMar>
            <w:top w:w="0" w:type="dxa"/>
            <w:left w:w="108" w:type="dxa"/>
            <w:bottom w:w="0" w:type="dxa"/>
            <w:right w:w="108" w:type="dxa"/>
          </w:tblCellMar>
        </w:tblPrEx>
        <w:trPr>
          <w:trHeight w:val="329"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iCs/>
                <w:color w:val="auto"/>
                <w:sz w:val="18"/>
                <w:szCs w:val="18"/>
                <w:highlight w:val="none"/>
              </w:rPr>
            </w:pPr>
          </w:p>
        </w:tc>
        <w:tc>
          <w:tcPr>
            <w:tcW w:w="112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地下水</w:t>
            </w:r>
          </w:p>
        </w:tc>
        <w:tc>
          <w:tcPr>
            <w:tcW w:w="7573" w:type="dxa"/>
            <w:gridSpan w:val="10"/>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iCs/>
                <w:color w:val="auto"/>
                <w:sz w:val="18"/>
                <w:szCs w:val="18"/>
                <w:highlight w:val="none"/>
                <w:lang w:val="en-US" w:eastAsia="zh-CN"/>
              </w:rPr>
            </w:pPr>
            <w:r>
              <w:rPr>
                <w:rFonts w:hint="default" w:ascii="Times New Roman" w:hAnsi="Times New Roman" w:cs="Times New Roman"/>
                <w:iCs/>
                <w:color w:val="auto"/>
                <w:sz w:val="18"/>
                <w:szCs w:val="18"/>
                <w:highlight w:val="none"/>
                <w:lang w:val="en-US" w:eastAsia="zh-CN"/>
              </w:rPr>
              <w:t>/</w:t>
            </w:r>
          </w:p>
        </w:tc>
      </w:tr>
      <w:tr>
        <w:tblPrEx>
          <w:tblCellMar>
            <w:top w:w="0" w:type="dxa"/>
            <w:left w:w="108" w:type="dxa"/>
            <w:bottom w:w="0" w:type="dxa"/>
            <w:right w:w="108" w:type="dxa"/>
          </w:tblCellMar>
        </w:tblPrEx>
        <w:trPr>
          <w:trHeight w:val="329" w:hRule="atLeast"/>
          <w:jc w:val="center"/>
        </w:trPr>
        <w:tc>
          <w:tcPr>
            <w:tcW w:w="171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重点风险防范</w:t>
            </w:r>
          </w:p>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措施</w:t>
            </w:r>
          </w:p>
        </w:tc>
        <w:tc>
          <w:tcPr>
            <w:tcW w:w="7573" w:type="dxa"/>
            <w:gridSpan w:val="10"/>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18"/>
                <w:szCs w:val="18"/>
                <w:highlight w:val="none"/>
                <w:lang w:val="en-GB"/>
              </w:rPr>
            </w:pPr>
            <w:r>
              <w:rPr>
                <w:rFonts w:hint="default" w:ascii="Times New Roman" w:hAnsi="Times New Roman" w:cs="Times New Roman"/>
                <w:color w:val="auto"/>
                <w:sz w:val="18"/>
                <w:szCs w:val="18"/>
                <w:highlight w:val="none"/>
                <w:lang w:val="en-GB"/>
              </w:rPr>
              <w:t>(</w:t>
            </w:r>
            <w:r>
              <w:rPr>
                <w:rFonts w:hint="default" w:ascii="Times New Roman" w:hAnsi="Times New Roman" w:cs="Times New Roman"/>
                <w:color w:val="auto"/>
                <w:sz w:val="18"/>
                <w:szCs w:val="18"/>
                <w:highlight w:val="none"/>
              </w:rPr>
              <w:t>1</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GB"/>
              </w:rPr>
              <w:t>为防止</w:t>
            </w:r>
            <w:r>
              <w:rPr>
                <w:rFonts w:hint="default" w:ascii="Times New Roman" w:hAnsi="Times New Roman" w:cs="Times New Roman"/>
                <w:color w:val="auto"/>
                <w:sz w:val="18"/>
                <w:szCs w:val="18"/>
                <w:highlight w:val="none"/>
                <w:lang w:val="en-US" w:eastAsia="zh-CN"/>
              </w:rPr>
              <w:t>物质</w:t>
            </w:r>
            <w:r>
              <w:rPr>
                <w:rFonts w:hint="default" w:ascii="Times New Roman" w:hAnsi="Times New Roman" w:cs="Times New Roman"/>
                <w:color w:val="auto"/>
                <w:sz w:val="18"/>
                <w:szCs w:val="18"/>
                <w:highlight w:val="none"/>
                <w:lang w:val="en-GB"/>
              </w:rPr>
              <w:t>泄漏事故发生时</w:t>
            </w:r>
            <w:r>
              <w:rPr>
                <w:rFonts w:hint="default" w:ascii="Times New Roman" w:hAnsi="Times New Roman" w:cs="Times New Roman"/>
                <w:color w:val="auto"/>
                <w:sz w:val="18"/>
                <w:szCs w:val="18"/>
                <w:highlight w:val="none"/>
                <w:lang w:val="en-US" w:eastAsia="zh-CN"/>
              </w:rPr>
              <w:t>有机物挥发</w:t>
            </w:r>
            <w:r>
              <w:rPr>
                <w:rFonts w:hint="default" w:ascii="Times New Roman" w:hAnsi="Times New Roman" w:cs="Times New Roman"/>
                <w:color w:val="auto"/>
                <w:sz w:val="18"/>
                <w:szCs w:val="18"/>
                <w:highlight w:val="none"/>
                <w:lang w:val="en-GB"/>
              </w:rPr>
              <w:t>造成有毒有害气体扩散的影响，</w:t>
            </w:r>
            <w:r>
              <w:rPr>
                <w:rFonts w:hint="default" w:ascii="Times New Roman" w:hAnsi="Times New Roman" w:cs="Times New Roman"/>
                <w:color w:val="auto"/>
                <w:sz w:val="18"/>
                <w:szCs w:val="18"/>
                <w:highlight w:val="none"/>
                <w:lang w:val="en-US" w:eastAsia="zh-CN"/>
              </w:rPr>
              <w:t>设置专人定期对储罐、围堰、运输管道进行检查，及时</w:t>
            </w:r>
            <w:r>
              <w:rPr>
                <w:rFonts w:hint="default" w:ascii="Times New Roman" w:hAnsi="Times New Roman" w:cs="Times New Roman"/>
                <w:color w:val="auto"/>
                <w:sz w:val="18"/>
                <w:szCs w:val="18"/>
                <w:highlight w:val="none"/>
                <w:lang w:val="en-GB"/>
              </w:rPr>
              <w:t>破损和泄漏处。</w:t>
            </w:r>
          </w:p>
          <w:p>
            <w:pPr>
              <w:rPr>
                <w:rFonts w:hint="default" w:ascii="Times New Roman" w:hAnsi="Times New Roman" w:cs="Times New Roman"/>
                <w:color w:val="auto"/>
                <w:sz w:val="18"/>
                <w:szCs w:val="18"/>
                <w:highlight w:val="none"/>
                <w:lang w:val="en-GB"/>
              </w:rPr>
            </w:pPr>
            <w:r>
              <w:rPr>
                <w:rFonts w:hint="default" w:ascii="Times New Roman" w:hAnsi="Times New Roman" w:cs="Times New Roman"/>
                <w:color w:val="auto"/>
                <w:sz w:val="18"/>
                <w:szCs w:val="18"/>
                <w:highlight w:val="none"/>
                <w:lang w:val="en-GB"/>
              </w:rPr>
              <w:t>(</w:t>
            </w:r>
            <w:r>
              <w:rPr>
                <w:rFonts w:hint="default" w:ascii="Times New Roman" w:hAnsi="Times New Roman" w:cs="Times New Roman"/>
                <w:color w:val="auto"/>
                <w:sz w:val="18"/>
                <w:szCs w:val="18"/>
                <w:highlight w:val="none"/>
                <w:lang w:val="en-US" w:eastAsia="zh-CN"/>
              </w:rPr>
              <w:t>2）储罐区</w:t>
            </w:r>
            <w:r>
              <w:rPr>
                <w:rFonts w:hint="default" w:ascii="Times New Roman" w:hAnsi="Times New Roman" w:cs="Times New Roman"/>
                <w:color w:val="auto"/>
                <w:sz w:val="18"/>
                <w:szCs w:val="18"/>
                <w:highlight w:val="none"/>
                <w:lang w:val="en-GB"/>
              </w:rPr>
              <w:t>设置围堰，发生泄漏后可全部通过导流沟进入事故水池；围堰内做好防腐防渗，确保所有泄漏的</w:t>
            </w:r>
            <w:r>
              <w:rPr>
                <w:rFonts w:hint="default" w:ascii="Times New Roman" w:hAnsi="Times New Roman" w:cs="Times New Roman"/>
                <w:color w:val="auto"/>
                <w:sz w:val="18"/>
                <w:szCs w:val="18"/>
                <w:highlight w:val="none"/>
                <w:lang w:val="en-US" w:eastAsia="zh-CN"/>
              </w:rPr>
              <w:t>物质</w:t>
            </w:r>
            <w:r>
              <w:rPr>
                <w:rFonts w:hint="default" w:ascii="Times New Roman" w:hAnsi="Times New Roman" w:cs="Times New Roman"/>
                <w:color w:val="auto"/>
                <w:sz w:val="18"/>
                <w:szCs w:val="18"/>
                <w:highlight w:val="none"/>
                <w:lang w:val="en-GB"/>
              </w:rPr>
              <w:t>可全部控制在厂内，不会外流出厂界对外环境造成影响。</w:t>
            </w:r>
          </w:p>
          <w:p>
            <w:pPr>
              <w:rPr>
                <w:rFonts w:hint="default" w:ascii="Times New Roman" w:hAnsi="Times New Roman" w:cs="Times New Roman"/>
                <w:color w:val="auto"/>
                <w:sz w:val="18"/>
                <w:szCs w:val="18"/>
                <w:highlight w:val="none"/>
                <w:lang w:val="en-GB"/>
              </w:rPr>
            </w:pPr>
            <w:r>
              <w:rPr>
                <w:rFonts w:hint="default" w:ascii="Times New Roman" w:hAnsi="Times New Roman" w:cs="Times New Roman"/>
                <w:color w:val="auto"/>
                <w:sz w:val="18"/>
                <w:szCs w:val="18"/>
                <w:highlight w:val="none"/>
                <w:lang w:val="en-GB"/>
              </w:rPr>
              <w:t>(</w:t>
            </w:r>
            <w:r>
              <w:rPr>
                <w:rFonts w:hint="default" w:ascii="Times New Roman" w:hAnsi="Times New Roman" w:cs="Times New Roman"/>
                <w:color w:val="auto"/>
                <w:sz w:val="18"/>
                <w:szCs w:val="18"/>
                <w:highlight w:val="none"/>
              </w:rPr>
              <w:t>4</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厂区</w:t>
            </w:r>
            <w:r>
              <w:rPr>
                <w:rFonts w:hint="default" w:ascii="Times New Roman" w:hAnsi="Times New Roman" w:cs="Times New Roman"/>
                <w:color w:val="auto"/>
                <w:sz w:val="18"/>
                <w:szCs w:val="18"/>
                <w:highlight w:val="none"/>
                <w:lang w:val="en-GB"/>
              </w:rPr>
              <w:t>设</w:t>
            </w:r>
            <w:r>
              <w:rPr>
                <w:rFonts w:hint="default" w:ascii="Times New Roman" w:hAnsi="Times New Roman" w:cs="Times New Roman"/>
                <w:color w:val="auto"/>
                <w:sz w:val="18"/>
                <w:szCs w:val="18"/>
                <w:highlight w:val="none"/>
              </w:rPr>
              <w:t>有</w:t>
            </w:r>
            <w:r>
              <w:rPr>
                <w:rFonts w:hint="default" w:ascii="Times New Roman" w:hAnsi="Times New Roman" w:cs="Times New Roman"/>
                <w:color w:val="auto"/>
                <w:sz w:val="18"/>
                <w:szCs w:val="18"/>
                <w:highlight w:val="none"/>
                <w:lang w:val="en-GB"/>
              </w:rPr>
              <w:t>一座事故应急池（</w:t>
            </w:r>
            <w:r>
              <w:rPr>
                <w:rFonts w:hint="default" w:ascii="Times New Roman" w:hAnsi="Times New Roman" w:cs="Times New Roman"/>
                <w:color w:val="auto"/>
                <w:sz w:val="18"/>
                <w:szCs w:val="18"/>
                <w:highlight w:val="none"/>
              </w:rPr>
              <w:t>2</w:t>
            </w:r>
            <w:r>
              <w:rPr>
                <w:rFonts w:hint="default" w:ascii="Times New Roman" w:hAnsi="Times New Roman" w:cs="Times New Roman"/>
                <w:color w:val="auto"/>
                <w:sz w:val="18"/>
                <w:szCs w:val="18"/>
                <w:highlight w:val="none"/>
                <w:lang w:val="en-US" w:eastAsia="zh-CN"/>
              </w:rPr>
              <w:t>0</w:t>
            </w:r>
            <w:r>
              <w:rPr>
                <w:rFonts w:hint="default" w:ascii="Times New Roman" w:hAnsi="Times New Roman" w:cs="Times New Roman"/>
                <w:color w:val="auto"/>
                <w:sz w:val="18"/>
                <w:szCs w:val="18"/>
                <w:highlight w:val="none"/>
              </w:rPr>
              <w:t>0</w:t>
            </w:r>
            <w:r>
              <w:rPr>
                <w:rFonts w:hint="default" w:ascii="Times New Roman" w:hAnsi="Times New Roman" w:cs="Times New Roman"/>
                <w:color w:val="auto"/>
                <w:sz w:val="18"/>
                <w:szCs w:val="18"/>
                <w:highlight w:val="none"/>
                <w:lang w:val="en-GB"/>
              </w:rPr>
              <w:t>m³），可满足事故排放要求。</w:t>
            </w:r>
          </w:p>
          <w:p>
            <w:pPr>
              <w:rPr>
                <w:rFonts w:hint="default" w:ascii="Times New Roman" w:hAnsi="Times New Roman" w:cs="Times New Roman"/>
                <w:color w:val="auto"/>
                <w:sz w:val="18"/>
                <w:szCs w:val="18"/>
                <w:highlight w:val="none"/>
                <w:lang w:val="en-GB"/>
              </w:rPr>
            </w:pPr>
            <w:r>
              <w:rPr>
                <w:rFonts w:hint="default" w:ascii="Times New Roman" w:hAnsi="Times New Roman" w:cs="Times New Roman"/>
                <w:color w:val="auto"/>
                <w:sz w:val="18"/>
                <w:szCs w:val="18"/>
                <w:highlight w:val="none"/>
                <w:lang w:val="en-GB"/>
              </w:rPr>
              <w:t>(</w:t>
            </w:r>
            <w:r>
              <w:rPr>
                <w:rFonts w:hint="default" w:ascii="Times New Roman" w:hAnsi="Times New Roman" w:cs="Times New Roman"/>
                <w:color w:val="auto"/>
                <w:sz w:val="18"/>
                <w:szCs w:val="18"/>
                <w:highlight w:val="none"/>
              </w:rPr>
              <w:t>5</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建设单位应根据本次</w:t>
            </w:r>
            <w:r>
              <w:rPr>
                <w:rFonts w:hint="default" w:ascii="Times New Roman" w:hAnsi="Times New Roman" w:cs="Times New Roman"/>
                <w:color w:val="auto"/>
                <w:sz w:val="18"/>
                <w:szCs w:val="18"/>
                <w:highlight w:val="none"/>
                <w:lang w:val="en-US" w:eastAsia="zh-CN"/>
              </w:rPr>
              <w:t>建设</w:t>
            </w:r>
            <w:r>
              <w:rPr>
                <w:rFonts w:hint="default" w:ascii="Times New Roman" w:hAnsi="Times New Roman" w:cs="Times New Roman"/>
                <w:color w:val="auto"/>
                <w:sz w:val="18"/>
                <w:szCs w:val="18"/>
                <w:highlight w:val="none"/>
              </w:rPr>
              <w:t>内容对企业应急预案进行修编，</w:t>
            </w:r>
            <w:r>
              <w:rPr>
                <w:rFonts w:hint="default" w:ascii="Times New Roman" w:hAnsi="Times New Roman" w:cs="Times New Roman"/>
                <w:color w:val="auto"/>
                <w:sz w:val="18"/>
                <w:szCs w:val="18"/>
                <w:highlight w:val="none"/>
                <w:lang w:val="en-GB"/>
              </w:rPr>
              <w:t>项目一旦发生环境事故时，应立即启动应急预案，为控制本工程可能发生的各类、各级环境风险事故、降低并最终消除其环境影响，提供有效的组织保障、措施保障。最终将环境风险事故造成的环境影响控制在可控范围内。</w:t>
            </w:r>
          </w:p>
          <w:p>
            <w:pPr>
              <w:jc w:val="left"/>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 xml:space="preserve"> </w:t>
            </w:r>
            <w:r>
              <w:rPr>
                <w:rFonts w:hint="default" w:ascii="Times New Roman" w:hAnsi="Times New Roman" w:cs="Times New Roman"/>
                <w:b/>
                <w:bCs/>
                <w:iCs/>
                <w:color w:val="auto"/>
                <w:sz w:val="18"/>
                <w:szCs w:val="18"/>
                <w:highlight w:val="none"/>
              </w:rPr>
              <w:t>详见“7、环境风险防范措施”。</w:t>
            </w:r>
          </w:p>
        </w:tc>
      </w:tr>
      <w:tr>
        <w:tblPrEx>
          <w:tblCellMar>
            <w:top w:w="0" w:type="dxa"/>
            <w:left w:w="108" w:type="dxa"/>
            <w:bottom w:w="0" w:type="dxa"/>
            <w:right w:w="108" w:type="dxa"/>
          </w:tblCellMar>
        </w:tblPrEx>
        <w:trPr>
          <w:trHeight w:val="329" w:hRule="atLeast"/>
          <w:jc w:val="center"/>
        </w:trPr>
        <w:tc>
          <w:tcPr>
            <w:tcW w:w="171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评价结论与建议</w:t>
            </w:r>
          </w:p>
        </w:tc>
        <w:tc>
          <w:tcPr>
            <w:tcW w:w="7573" w:type="dxa"/>
            <w:gridSpan w:val="10"/>
            <w:tcBorders>
              <w:top w:val="single" w:color="auto" w:sz="4" w:space="0"/>
              <w:left w:val="single" w:color="auto" w:sz="4" w:space="0"/>
              <w:bottom w:val="single" w:color="auto" w:sz="4" w:space="0"/>
              <w:right w:val="single" w:color="auto" w:sz="4" w:space="0"/>
            </w:tcBorders>
            <w:vAlign w:val="center"/>
          </w:tcPr>
          <w:p>
            <w:pPr>
              <w:pStyle w:val="5"/>
              <w:spacing w:line="240" w:lineRule="auto"/>
              <w:ind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本项目1</w:t>
            </w:r>
            <w:r>
              <w:rPr>
                <w:rFonts w:hint="default" w:ascii="Times New Roman" w:hAnsi="Times New Roman" w:cs="Times New Roman"/>
                <w:color w:val="auto"/>
                <w:sz w:val="18"/>
                <w:szCs w:val="18"/>
                <w:highlight w:val="none"/>
                <w:lang w:val="en-US" w:eastAsia="zh-CN"/>
              </w:rPr>
              <w:t>0</w:t>
            </w:r>
            <w:r>
              <w:rPr>
                <w:rFonts w:hint="default" w:ascii="Times New Roman" w:hAnsi="Times New Roman" w:cs="Times New Roman"/>
                <w:color w:val="auto"/>
                <w:sz w:val="18"/>
                <w:szCs w:val="18"/>
                <w:highlight w:val="none"/>
              </w:rPr>
              <w:t>≤Q＜1</w:t>
            </w:r>
            <w:r>
              <w:rPr>
                <w:rFonts w:hint="default" w:ascii="Times New Roman" w:hAnsi="Times New Roman" w:cs="Times New Roman"/>
                <w:color w:val="auto"/>
                <w:sz w:val="18"/>
                <w:szCs w:val="18"/>
                <w:highlight w:val="none"/>
                <w:lang w:val="en-US" w:eastAsia="zh-CN"/>
              </w:rPr>
              <w:t>0</w:t>
            </w:r>
            <w:r>
              <w:rPr>
                <w:rFonts w:hint="default" w:ascii="Times New Roman" w:hAnsi="Times New Roman" w:cs="Times New Roman"/>
                <w:color w:val="auto"/>
                <w:sz w:val="18"/>
                <w:szCs w:val="18"/>
                <w:highlight w:val="none"/>
              </w:rPr>
              <w:t>0，经判定本项目环境风险评价等级为</w:t>
            </w:r>
            <w:r>
              <w:rPr>
                <w:rFonts w:hint="eastAsia" w:cs="Times New Roman"/>
                <w:color w:val="auto"/>
                <w:sz w:val="18"/>
                <w:szCs w:val="18"/>
                <w:highlight w:val="none"/>
                <w:lang w:val="en-US" w:eastAsia="zh-CN"/>
              </w:rPr>
              <w:t>三</w:t>
            </w:r>
            <w:r>
              <w:rPr>
                <w:rFonts w:hint="default" w:ascii="Times New Roman" w:hAnsi="Times New Roman" w:cs="Times New Roman"/>
                <w:color w:val="auto"/>
                <w:sz w:val="18"/>
                <w:szCs w:val="18"/>
                <w:highlight w:val="none"/>
              </w:rPr>
              <w:t>级。</w:t>
            </w:r>
          </w:p>
          <w:p>
            <w:pPr>
              <w:pStyle w:val="5"/>
              <w:spacing w:line="240" w:lineRule="auto"/>
              <w:ind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最大风险事故是</w:t>
            </w:r>
            <w:r>
              <w:rPr>
                <w:rFonts w:hint="default" w:ascii="Times New Roman" w:hAnsi="Times New Roman" w:cs="Times New Roman"/>
                <w:color w:val="auto"/>
                <w:sz w:val="18"/>
                <w:szCs w:val="18"/>
                <w:highlight w:val="none"/>
                <w:lang w:val="en-US" w:eastAsia="zh-CN"/>
              </w:rPr>
              <w:t>DMF泄漏导致环境污染事故和环保设施出现故障或管道泄漏导致的环境污染事故</w:t>
            </w:r>
            <w:r>
              <w:rPr>
                <w:rFonts w:hint="default" w:ascii="Times New Roman" w:hAnsi="Times New Roman" w:cs="Times New Roman"/>
                <w:color w:val="auto"/>
                <w:sz w:val="18"/>
                <w:szCs w:val="18"/>
                <w:highlight w:val="none"/>
              </w:rPr>
              <w:t>，通过采取有效防控措施，风险可控。</w:t>
            </w:r>
          </w:p>
          <w:p>
            <w:pPr>
              <w:pStyle w:val="5"/>
              <w:spacing w:line="240" w:lineRule="auto"/>
              <w:ind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在全面落实所述环境风险防范措施，强化运营中的环境保护管理，</w:t>
            </w:r>
            <w:r>
              <w:rPr>
                <w:rFonts w:hint="default" w:ascii="Times New Roman" w:hAnsi="Times New Roman" w:cs="Times New Roman"/>
                <w:color w:val="auto"/>
                <w:sz w:val="18"/>
                <w:szCs w:val="18"/>
                <w:highlight w:val="none"/>
                <w:lang w:val="en-GB"/>
              </w:rPr>
              <w:t>能有效预防事故的发生，将建设项目风险降至最低程度</w:t>
            </w:r>
            <w:r>
              <w:rPr>
                <w:rFonts w:hint="default" w:ascii="Times New Roman" w:hAnsi="Times New Roman" w:cs="Times New Roman"/>
                <w:color w:val="auto"/>
                <w:sz w:val="18"/>
                <w:szCs w:val="18"/>
                <w:highlight w:val="none"/>
              </w:rPr>
              <w:t>。因此，从环境风险角度分析，本项目建设对环境的风险危害是可以接受的。</w:t>
            </w:r>
          </w:p>
        </w:tc>
      </w:tr>
      <w:tr>
        <w:tblPrEx>
          <w:tblCellMar>
            <w:top w:w="0" w:type="dxa"/>
            <w:left w:w="108" w:type="dxa"/>
            <w:bottom w:w="0" w:type="dxa"/>
            <w:right w:w="108" w:type="dxa"/>
          </w:tblCellMar>
        </w:tblPrEx>
        <w:trPr>
          <w:trHeight w:val="329" w:hRule="atLeast"/>
          <w:jc w:val="center"/>
        </w:trPr>
        <w:tc>
          <w:tcPr>
            <w:tcW w:w="9286" w:type="dxa"/>
            <w:gridSpan w:val="12"/>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iCs/>
                <w:color w:val="auto"/>
                <w:sz w:val="18"/>
                <w:szCs w:val="18"/>
                <w:highlight w:val="none"/>
              </w:rPr>
            </w:pPr>
            <w:r>
              <w:rPr>
                <w:rFonts w:hint="default" w:ascii="Times New Roman" w:hAnsi="Times New Roman" w:cs="Times New Roman"/>
                <w:iCs/>
                <w:color w:val="auto"/>
                <w:sz w:val="18"/>
                <w:szCs w:val="18"/>
                <w:highlight w:val="none"/>
              </w:rPr>
              <w:t>注：“</w:t>
            </w:r>
            <w:r>
              <w:rPr>
                <w:rFonts w:hint="default" w:ascii="Times New Roman" w:hAnsi="Times New Roman" w:cs="Times New Roman"/>
                <w:iCs/>
                <w:color w:val="auto"/>
                <w:sz w:val="18"/>
                <w:szCs w:val="18"/>
                <w:highlight w:val="none"/>
              </w:rPr>
              <w:sym w:font="Wingdings 2" w:char="00A3"/>
            </w:r>
            <w:r>
              <w:rPr>
                <w:rFonts w:hint="default" w:ascii="Times New Roman" w:hAnsi="Times New Roman" w:cs="Times New Roman"/>
                <w:iCs/>
                <w:color w:val="auto"/>
                <w:sz w:val="18"/>
                <w:szCs w:val="18"/>
                <w:highlight w:val="none"/>
              </w:rPr>
              <w:t>”为勾选项，“    ”为填写项</w:t>
            </w:r>
          </w:p>
        </w:tc>
      </w:tr>
    </w:tbl>
    <w:p>
      <w:pPr>
        <w:pStyle w:val="2"/>
        <w:rPr>
          <w:rFonts w:hint="default"/>
        </w:rPr>
      </w:pPr>
    </w:p>
    <w:sectPr>
      <w:headerReference r:id="rId6" w:type="default"/>
      <w:footerReference r:id="rId7" w:type="default"/>
      <w:pgSz w:w="11905" w:h="16838"/>
      <w:pgMar w:top="1417" w:right="1417" w:bottom="1417" w:left="1417" w:header="851" w:footer="1077" w:gutter="0"/>
      <w:pgBorders>
        <w:top w:val="none" w:sz="0" w:space="0"/>
        <w:left w:val="none" w:sz="0" w:space="0"/>
        <w:bottom w:val="none" w:sz="0" w:space="0"/>
        <w:right w:val="none" w:sz="0" w:space="0"/>
      </w:pgBorders>
      <w:cols w:space="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632">
      <wne:acd wne:acdName="acd0"/>
    </wne:keymap>
    <wne:keymap wne:kcmPrimary="0633">
      <wne:acd wne:acdName="acd1"/>
    </wne:keymap>
    <wne:keymap wne:kcmPrimary="0634">
      <wne:acd wne:acdName="acd2"/>
    </wne:keymap>
    <wne:keymap wne:kcmPrimary="0635">
      <wne:acd wne:acdName="acd3"/>
    </wne:keymap>
    <wne:keymap wne:kcmPrimary="0642">
      <wne:acd wne:acdName="acd4"/>
    </wne:keymap>
    <wne:keymap wne:kcmPrimary="0647">
      <wne:acd wne:acdName="acd5"/>
    </wne:keymap>
    <wne:keymap wne:kcmPrimary="06DE">
      <wne:acd wne:acdName="acd6"/>
    </wne:keymap>
  </wne:keymaps>
  <wne:acds>
    <wne:acd wne:argValue="AQAAAAIA" wne:acdName="acd0" wne:fciIndexBasedOn="0065"/>
    <wne:acd wne:argValue="AQAAAAMA" wne:acdName="acd1" wne:fciIndexBasedOn="0065"/>
    <wne:acd wne:argValue="AQAAAAQA" wne:acdName="acd2" wne:fciIndexBasedOn="0065"/>
    <wne:acd wne:argValue="AQAAAAUA" wne:acdName="acd3" wne:fciIndexBasedOn="0065"/>
    <wne:acd wne:argValue="AgBoiDxoB2iYmA==" wne:acdName="acd4" wne:fciIndexBasedOn="0065"/>
    <wne:acd wne:argValue="AgD+VodlB2iYmA==" wne:acdName="acd5" wne:fciIndexBasedOn="0065"/>
    <wne:acd wne:argValue="AgD9lRtSpWJKVGNrh2U=" wne:acdName="acd6"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pPr>
                          <w:r>
                            <w:fldChar w:fldCharType="begin"/>
                          </w:r>
                          <w:r>
                            <w:instrText xml:space="preserve"> PAGE  \* MERGEFORMAT </w:instrText>
                          </w:r>
                          <w:r>
                            <w:fldChar w:fldCharType="separate"/>
                          </w:r>
                          <w:r>
                            <w:t>- 71 -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tabs>
                        <w:tab w:val="center" w:pos="4153"/>
                        <w:tab w:val="right" w:pos="8306"/>
                      </w:tabs>
                    </w:pPr>
                    <w:r>
                      <w:fldChar w:fldCharType="begin"/>
                    </w:r>
                    <w:r>
                      <w:instrText xml:space="preserve"> PAGE  \* MERGEFORMAT </w:instrText>
                    </w:r>
                    <w:r>
                      <w:fldChar w:fldCharType="separate"/>
                    </w:r>
                    <w:r>
                      <w:t>- 71 -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pPr>
                          <w:r>
                            <w:fldChar w:fldCharType="begin"/>
                          </w:r>
                          <w:r>
                            <w:instrText xml:space="preserve"> PAGE  \* MERGEFORMAT </w:instrText>
                          </w:r>
                          <w:r>
                            <w:fldChar w:fldCharType="separate"/>
                          </w:r>
                          <w:r>
                            <w:t>- 101 -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tabs>
                        <w:tab w:val="center" w:pos="4153"/>
                        <w:tab w:val="right" w:pos="8306"/>
                      </w:tabs>
                    </w:pPr>
                    <w:r>
                      <w:fldChar w:fldCharType="begin"/>
                    </w:r>
                    <w:r>
                      <w:instrText xml:space="preserve"> PAGE  \* MERGEFORMAT </w:instrText>
                    </w:r>
                    <w:r>
                      <w:fldChar w:fldCharType="separate"/>
                    </w:r>
                    <w:r>
                      <w:t>- 101 -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pPr>
                          <w:r>
                            <w:fldChar w:fldCharType="begin"/>
                          </w:r>
                          <w:r>
                            <w:instrText xml:space="preserve"> PAGE  \* MERGEFORMAT </w:instrText>
                          </w:r>
                          <w:r>
                            <w:fldChar w:fldCharType="separate"/>
                          </w:r>
                          <w:r>
                            <w:t>- 124 -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tabs>
                        <w:tab w:val="center" w:pos="4153"/>
                        <w:tab w:val="right" w:pos="8306"/>
                      </w:tabs>
                    </w:pPr>
                    <w:r>
                      <w:fldChar w:fldCharType="begin"/>
                    </w:r>
                    <w:r>
                      <w:instrText xml:space="preserve"> PAGE  \* MERGEFORMAT </w:instrText>
                    </w:r>
                    <w:r>
                      <w:fldChar w:fldCharType="separate"/>
                    </w:r>
                    <w:r>
                      <w:t>- 124 -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pPr>
                          <w:r>
                            <w:rPr>
                              <w:rFonts w:hint="eastAsia"/>
                            </w:rPr>
                            <w:fldChar w:fldCharType="begin"/>
                          </w:r>
                          <w:r>
                            <w:rPr>
                              <w:rFonts w:hint="eastAsia"/>
                            </w:rPr>
                            <w:instrText xml:space="preserve"> PAGE  \* MERGEFORMAT </w:instrText>
                          </w:r>
                          <w:r>
                            <w:rPr>
                              <w:rFonts w:hint="eastAsia"/>
                            </w:rPr>
                            <w:fldChar w:fldCharType="separate"/>
                          </w:r>
                          <w:r>
                            <w:t>192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tabs>
                        <w:tab w:val="center" w:pos="4153"/>
                        <w:tab w:val="right" w:pos="8306"/>
                      </w:tabs>
                    </w:pPr>
                    <w:r>
                      <w:rPr>
                        <w:rFonts w:hint="eastAsia"/>
                      </w:rPr>
                      <w:fldChar w:fldCharType="begin"/>
                    </w:r>
                    <w:r>
                      <w:rPr>
                        <w:rFonts w:hint="eastAsia"/>
                      </w:rPr>
                      <w:instrText xml:space="preserve"> PAGE  \* MERGEFORMAT </w:instrText>
                    </w:r>
                    <w:r>
                      <w:rPr>
                        <w:rFonts w:hint="eastAsia"/>
                      </w:rPr>
                      <w:fldChar w:fldCharType="separate"/>
                    </w:r>
                    <w:r>
                      <w:t>192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4" w:lineRule="auto"/>
      <w:ind w:firstLine="1535"/>
      <w:rPr>
        <w:rFonts w:ascii="宋体" w:hAnsi="宋体" w:cs="宋体"/>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D13950"/>
    <w:multiLevelType w:val="multilevel"/>
    <w:tmpl w:val="ACD13950"/>
    <w:lvl w:ilvl="0" w:tentative="0">
      <w:start w:val="1"/>
      <w:numFmt w:val="chineseCounting"/>
      <w:pStyle w:val="3"/>
      <w:suff w:val="nothing"/>
      <w:lvlText w:val="%1、"/>
      <w:lvlJc w:val="left"/>
      <w:pPr>
        <w:tabs>
          <w:tab w:val="left" w:pos="420"/>
        </w:tabs>
        <w:ind w:left="432" w:hanging="432"/>
      </w:pPr>
      <w:rPr>
        <w:rFonts w:hint="eastAsia" w:ascii="Times New Roman" w:hAnsi="Times New Roman" w:eastAsia="黑体" w:cs="宋体"/>
        <w:b w:val="0"/>
        <w:bCs w:val="0"/>
        <w:sz w:val="30"/>
        <w:szCs w:val="32"/>
      </w:rPr>
    </w:lvl>
    <w:lvl w:ilvl="1" w:tentative="0">
      <w:start w:val="1"/>
      <w:numFmt w:val="decimal"/>
      <w:isLgl/>
      <w:suff w:val="space"/>
      <w:lvlText w:val="%2"/>
      <w:lvlJc w:val="left"/>
      <w:pPr>
        <w:tabs>
          <w:tab w:val="left" w:pos="420"/>
        </w:tabs>
        <w:ind w:left="0" w:firstLine="0"/>
      </w:pPr>
      <w:rPr>
        <w:rFonts w:hint="eastAsia" w:ascii="Times New Roman" w:hAnsi="Times New Roman" w:eastAsia="宋体" w:cs="宋体"/>
        <w:b/>
        <w:bCs/>
        <w:sz w:val="28"/>
        <w:szCs w:val="30"/>
      </w:rPr>
    </w:lvl>
    <w:lvl w:ilvl="2" w:tentative="0">
      <w:start w:val="1"/>
      <w:numFmt w:val="decimal"/>
      <w:pStyle w:val="4"/>
      <w:isLgl/>
      <w:suff w:val="space"/>
      <w:lvlText w:val="%2.%3"/>
      <w:lvlJc w:val="left"/>
      <w:pPr>
        <w:tabs>
          <w:tab w:val="left" w:pos="0"/>
        </w:tabs>
        <w:ind w:left="720" w:hanging="720"/>
      </w:pPr>
      <w:rPr>
        <w:rFonts w:hint="eastAsia" w:ascii="Times New Roman" w:hAnsi="Times New Roman" w:eastAsia="宋体" w:cs="宋体"/>
        <w:b/>
        <w:bCs w:val="0"/>
        <w:i w:val="0"/>
        <w:sz w:val="24"/>
        <w:szCs w:val="24"/>
      </w:rPr>
    </w:lvl>
    <w:lvl w:ilvl="3" w:tentative="0">
      <w:start w:val="1"/>
      <w:numFmt w:val="decimal"/>
      <w:pStyle w:val="6"/>
      <w:isLgl/>
      <w:suff w:val="space"/>
      <w:lvlText w:val="%2.%3.%4"/>
      <w:lvlJc w:val="left"/>
      <w:pPr>
        <w:tabs>
          <w:tab w:val="left" w:pos="0"/>
        </w:tabs>
        <w:ind w:left="3174" w:hanging="864"/>
      </w:pPr>
      <w:rPr>
        <w:rFonts w:hint="eastAsia" w:ascii="Times New Roman" w:hAnsi="Times New Roman" w:eastAsia="宋体" w:cs="宋体"/>
        <w:sz w:val="24"/>
        <w:szCs w:val="24"/>
      </w:rPr>
    </w:lvl>
    <w:lvl w:ilvl="4" w:tentative="0">
      <w:start w:val="1"/>
      <w:numFmt w:val="decimal"/>
      <w:isLgl/>
      <w:suff w:val="nothing"/>
      <w:lvlText w:val="   （%5）"/>
      <w:lvlJc w:val="left"/>
      <w:pPr>
        <w:tabs>
          <w:tab w:val="left" w:pos="420"/>
        </w:tabs>
        <w:ind w:left="0" w:firstLine="0"/>
      </w:pPr>
      <w:rPr>
        <w:rFonts w:hint="eastAsia" w:ascii="Times New Roman" w:hAnsi="Times New Roman" w:eastAsia="宋体" w:cs="宋体"/>
        <w:sz w:val="24"/>
        <w:szCs w:val="24"/>
      </w:rPr>
    </w:lvl>
    <w:lvl w:ilvl="5" w:tentative="0">
      <w:start w:val="1"/>
      <w:numFmt w:val="decimalEnclosedCircleChinese"/>
      <w:suff w:val="nothing"/>
      <w:lvlText w:val="%6"/>
      <w:lvlJc w:val="left"/>
      <w:pPr>
        <w:tabs>
          <w:tab w:val="left" w:pos="420"/>
        </w:tabs>
        <w:ind w:left="1151" w:hanging="1151"/>
      </w:pPr>
      <w:rPr>
        <w:rFonts w:hint="eastAsia" w:ascii="宋体" w:hAnsi="宋体" w:eastAsia="宋体" w:cs="宋体"/>
      </w:rPr>
    </w:lvl>
    <w:lvl w:ilvl="6" w:tentative="0">
      <w:start w:val="1"/>
      <w:numFmt w:val="upperLetter"/>
      <w:lvlText w:val="%7."/>
      <w:lvlJc w:val="left"/>
      <w:pPr>
        <w:tabs>
          <w:tab w:val="left" w:pos="420"/>
        </w:tabs>
        <w:ind w:left="1296" w:hanging="1296"/>
      </w:pPr>
      <w:rPr>
        <w:rFonts w:hint="eastAsia" w:ascii="Times New Roman" w:hAnsi="Times New Roman" w:eastAsia="宋体" w:cs="宋体"/>
      </w:rPr>
    </w:lvl>
    <w:lvl w:ilvl="7" w:tentative="0">
      <w:start w:val="1"/>
      <w:numFmt w:val="decimal"/>
      <w:lvlRestart w:val="0"/>
      <w:pStyle w:val="15"/>
      <w:isLgl/>
      <w:suff w:val="space"/>
      <w:lvlText w:val="表%8"/>
      <w:lvlJc w:val="left"/>
      <w:pPr>
        <w:tabs>
          <w:tab w:val="left" w:pos="0"/>
        </w:tabs>
        <w:ind w:left="1440" w:hanging="1440"/>
      </w:pPr>
      <w:rPr>
        <w:rFonts w:hint="eastAsia" w:ascii="Times New Roman" w:hAnsi="Times New Roman" w:eastAsia="宋体" w:cs="宋体"/>
      </w:rPr>
    </w:lvl>
    <w:lvl w:ilvl="8" w:tentative="0">
      <w:start w:val="1"/>
      <w:numFmt w:val="decimal"/>
      <w:lvlRestart w:val="0"/>
      <w:pStyle w:val="17"/>
      <w:isLgl/>
      <w:suff w:val="space"/>
      <w:lvlText w:val="图%9"/>
      <w:lvlJc w:val="left"/>
      <w:pPr>
        <w:tabs>
          <w:tab w:val="left" w:pos="0"/>
        </w:tabs>
        <w:ind w:left="1583" w:hanging="1583"/>
      </w:pPr>
      <w:rPr>
        <w:rFonts w:hint="default" w:ascii="Times New Roman" w:hAnsi="Times New Roman" w:eastAsia="宋体" w:cs="Times New Roman"/>
        <w:sz w:val="24"/>
        <w:szCs w:val="24"/>
      </w:rPr>
    </w:lvl>
  </w:abstractNum>
  <w:abstractNum w:abstractNumId="1">
    <w:nsid w:val="E5C0E190"/>
    <w:multiLevelType w:val="multilevel"/>
    <w:tmpl w:val="E5C0E190"/>
    <w:lvl w:ilvl="0" w:tentative="0">
      <w:start w:val="1"/>
      <w:numFmt w:val="decimal"/>
      <w:lvlText w:val="%1 "/>
      <w:lvlJc w:val="left"/>
      <w:pPr>
        <w:ind w:left="0" w:firstLine="0"/>
      </w:pPr>
      <w:rPr>
        <w:rFonts w:hint="default" w:ascii="宋体" w:hAnsi="宋体" w:eastAsia="宋体"/>
      </w:rPr>
    </w:lvl>
    <w:lvl w:ilvl="1" w:tentative="0">
      <w:start w:val="1"/>
      <w:numFmt w:val="decimal"/>
      <w:lvlText w:val="%1.%2 "/>
      <w:lvlJc w:val="left"/>
      <w:pPr>
        <w:ind w:left="0" w:firstLine="0"/>
      </w:pPr>
      <w:rPr>
        <w:rFonts w:hint="default" w:ascii="宋体" w:hAnsi="宋体" w:eastAsia="宋体"/>
      </w:rPr>
    </w:lvl>
    <w:lvl w:ilvl="2" w:tentative="0">
      <w:start w:val="1"/>
      <w:numFmt w:val="decimal"/>
      <w:lvlText w:val="%1.%2.%3 "/>
      <w:lvlJc w:val="left"/>
      <w:pPr>
        <w:ind w:left="720" w:hanging="720"/>
      </w:pPr>
      <w:rPr>
        <w:rFonts w:hint="default" w:ascii="宋体" w:hAnsi="宋体" w:eastAsia="宋体"/>
      </w:rPr>
    </w:lvl>
    <w:lvl w:ilvl="3" w:tentative="0">
      <w:start w:val="1"/>
      <w:numFmt w:val="decimal"/>
      <w:lvlText w:val="%1.%2.%3.%4."/>
      <w:lvlJc w:val="left"/>
      <w:pPr>
        <w:ind w:left="864" w:hanging="864"/>
      </w:pPr>
      <w:rPr>
        <w:rFonts w:hint="default"/>
      </w:rPr>
    </w:lvl>
    <w:lvl w:ilvl="4" w:tentative="0">
      <w:start w:val="1"/>
      <w:numFmt w:val="none"/>
      <w:lvlText w:val=""/>
      <w:lvlJc w:val="left"/>
      <w:pPr>
        <w:ind w:left="1008" w:hanging="1008"/>
      </w:pPr>
      <w:rPr>
        <w:rFonts w:hint="default" w:ascii="宋体" w:hAnsi="宋体" w:eastAsia="宋体"/>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579F0AEB"/>
    <w:multiLevelType w:val="singleLevel"/>
    <w:tmpl w:val="579F0AEB"/>
    <w:lvl w:ilvl="0" w:tentative="0">
      <w:start w:val="1"/>
      <w:numFmt w:val="decimal"/>
      <w:suff w:val="space"/>
      <w:lvlText w:val="(%1)"/>
      <w:lvlJc w:val="left"/>
    </w:lvl>
  </w:abstractNum>
  <w:abstractNum w:abstractNumId="3">
    <w:nsid w:val="614F3D4F"/>
    <w:multiLevelType w:val="multilevel"/>
    <w:tmpl w:val="614F3D4F"/>
    <w:lvl w:ilvl="0" w:tentative="0">
      <w:start w:val="1"/>
      <w:numFmt w:val="chineseCounting"/>
      <w:suff w:val="space"/>
      <w:lvlText w:val="%1、"/>
      <w:lvlJc w:val="left"/>
      <w:pPr>
        <w:tabs>
          <w:tab w:val="left" w:pos="0"/>
        </w:tabs>
        <w:ind w:left="432" w:hanging="432"/>
      </w:pPr>
      <w:rPr>
        <w:rFonts w:hint="eastAsia" w:ascii="宋体" w:hAnsi="宋体" w:eastAsia="宋体" w:cs="宋体"/>
        <w:b/>
        <w:bCs/>
        <w:sz w:val="32"/>
        <w:szCs w:val="32"/>
      </w:rPr>
    </w:lvl>
    <w:lvl w:ilvl="1" w:tentative="0">
      <w:start w:val="1"/>
      <w:numFmt w:val="decimal"/>
      <w:isLgl/>
      <w:suff w:val="space"/>
      <w:lvlText w:val="%1.%2"/>
      <w:lvlJc w:val="left"/>
      <w:pPr>
        <w:tabs>
          <w:tab w:val="left" w:pos="0"/>
        </w:tabs>
        <w:ind w:left="0" w:firstLine="0"/>
      </w:pPr>
      <w:rPr>
        <w:rFonts w:hint="eastAsia" w:ascii="Times New Roman" w:hAnsi="Times New Roman" w:eastAsia="宋体" w:cs="楷体_GB2312"/>
        <w:b/>
        <w:bCs/>
        <w:sz w:val="30"/>
        <w:szCs w:val="30"/>
      </w:rPr>
    </w:lvl>
    <w:lvl w:ilvl="2" w:tentative="0">
      <w:start w:val="1"/>
      <w:numFmt w:val="decimal"/>
      <w:isLgl/>
      <w:suff w:val="space"/>
      <w:lvlText w:val="%1.%2.%3"/>
      <w:lvlJc w:val="left"/>
      <w:pPr>
        <w:tabs>
          <w:tab w:val="left" w:pos="0"/>
        </w:tabs>
        <w:ind w:left="720" w:hanging="720"/>
      </w:pPr>
      <w:rPr>
        <w:rFonts w:hint="eastAsia" w:ascii="Times New Roman" w:hAnsi="Times New Roman" w:eastAsia="宋体" w:cs="楷体_GB2312"/>
        <w:b/>
        <w:bCs/>
        <w:sz w:val="24"/>
        <w:szCs w:val="28"/>
      </w:rPr>
    </w:lvl>
    <w:lvl w:ilvl="3" w:tentative="0">
      <w:start w:val="1"/>
      <w:numFmt w:val="decimal"/>
      <w:isLgl/>
      <w:suff w:val="space"/>
      <w:lvlText w:val="%1.%2.%3.%4"/>
      <w:lvlJc w:val="left"/>
      <w:pPr>
        <w:tabs>
          <w:tab w:val="left" w:pos="420"/>
        </w:tabs>
        <w:ind w:left="864" w:hanging="864"/>
      </w:pPr>
      <w:rPr>
        <w:rFonts w:hint="eastAsia" w:ascii="Times New Roman" w:hAnsi="Times New Roman" w:eastAsia="宋体" w:cs="宋体"/>
        <w:sz w:val="24"/>
        <w:szCs w:val="24"/>
      </w:rPr>
    </w:lvl>
    <w:lvl w:ilvl="4" w:tentative="0">
      <w:start w:val="1"/>
      <w:numFmt w:val="decimal"/>
      <w:pStyle w:val="7"/>
      <w:isLgl/>
      <w:suff w:val="nothing"/>
      <w:lvlText w:val="（%5）"/>
      <w:lvlJc w:val="left"/>
      <w:pPr>
        <w:tabs>
          <w:tab w:val="left" w:pos="420"/>
        </w:tabs>
        <w:ind w:left="-300" w:firstLine="0"/>
      </w:pPr>
      <w:rPr>
        <w:rFonts w:hint="eastAsia" w:ascii="Times New Roman" w:hAnsi="Times New Roman" w:eastAsia="宋体" w:cs="宋体"/>
        <w:sz w:val="21"/>
        <w:szCs w:val="24"/>
      </w:rPr>
    </w:lvl>
    <w:lvl w:ilvl="5" w:tentative="0">
      <w:start w:val="1"/>
      <w:numFmt w:val="decimalEnclosedCircleChinese"/>
      <w:pStyle w:val="8"/>
      <w:suff w:val="nothing"/>
      <w:lvlText w:val="%6"/>
      <w:lvlJc w:val="left"/>
      <w:pPr>
        <w:tabs>
          <w:tab w:val="left" w:pos="0"/>
        </w:tabs>
        <w:ind w:left="1151" w:hanging="1151"/>
      </w:pPr>
      <w:rPr>
        <w:rFonts w:hint="eastAsia" w:ascii="宋体" w:hAnsi="宋体" w:eastAsia="宋体" w:cs="宋体"/>
        <w:sz w:val="24"/>
        <w:szCs w:val="24"/>
      </w:rPr>
    </w:lvl>
    <w:lvl w:ilvl="6" w:tentative="0">
      <w:start w:val="1"/>
      <w:numFmt w:val="upperLetter"/>
      <w:pStyle w:val="9"/>
      <w:lvlText w:val="%7."/>
      <w:lvlJc w:val="left"/>
      <w:pPr>
        <w:tabs>
          <w:tab w:val="left" w:pos="420"/>
        </w:tabs>
        <w:ind w:left="1296" w:hanging="1296"/>
      </w:pPr>
      <w:rPr>
        <w:rFonts w:hint="eastAsia" w:ascii="Times New Roman" w:hAnsi="Times New Roman" w:eastAsia="宋体" w:cs="楷体_GB2312"/>
      </w:rPr>
    </w:lvl>
    <w:lvl w:ilvl="7" w:tentative="0">
      <w:start w:val="1"/>
      <w:numFmt w:val="decimal"/>
      <w:lvlRestart w:val="2"/>
      <w:isLgl/>
      <w:suff w:val="space"/>
      <w:lvlText w:val="表%1.%2-%8"/>
      <w:lvlJc w:val="left"/>
      <w:pPr>
        <w:tabs>
          <w:tab w:val="left" w:pos="0"/>
        </w:tabs>
        <w:ind w:left="1440" w:hanging="1440"/>
      </w:pPr>
      <w:rPr>
        <w:rFonts w:hint="eastAsia" w:ascii="Times New Roman" w:hAnsi="Times New Roman" w:eastAsia="宋体" w:cs="楷体_GB2312"/>
      </w:rPr>
    </w:lvl>
    <w:lvl w:ilvl="8" w:tentative="0">
      <w:start w:val="1"/>
      <w:numFmt w:val="decimal"/>
      <w:lvlRestart w:val="2"/>
      <w:isLgl/>
      <w:suff w:val="space"/>
      <w:lvlText w:val="图%1.%2-%9"/>
      <w:lvlJc w:val="left"/>
      <w:pPr>
        <w:tabs>
          <w:tab w:val="left" w:pos="0"/>
        </w:tabs>
        <w:ind w:left="1583" w:hanging="1583"/>
      </w:pPr>
      <w:rPr>
        <w:rFonts w:hint="eastAsia" w:ascii="Times New Roman" w:hAnsi="Times New Roman" w:eastAsia="宋体" w:cs="宋体"/>
        <w:sz w:val="21"/>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displayBackgroundShape w:val="1"/>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210"/>
  <w:drawingGridVerticalSpacing w:val="-794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VjM2YwZjAxNmJiNzFjZDVlY2MwMjgyNjQ1MWRkMWUifQ=="/>
  </w:docVars>
  <w:rsids>
    <w:rsidRoot w:val="00172A27"/>
    <w:rsid w:val="000060B3"/>
    <w:rsid w:val="00014502"/>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18F5"/>
    <w:rsid w:val="000E3ED2"/>
    <w:rsid w:val="00102CD5"/>
    <w:rsid w:val="00131F42"/>
    <w:rsid w:val="001357F1"/>
    <w:rsid w:val="00140FA8"/>
    <w:rsid w:val="00142FEB"/>
    <w:rsid w:val="00143A2D"/>
    <w:rsid w:val="00145A41"/>
    <w:rsid w:val="00151675"/>
    <w:rsid w:val="00157435"/>
    <w:rsid w:val="00165D28"/>
    <w:rsid w:val="00172A27"/>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5378"/>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054C"/>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4B74"/>
    <w:rsid w:val="003E76A9"/>
    <w:rsid w:val="003F0809"/>
    <w:rsid w:val="003F6A8C"/>
    <w:rsid w:val="003F755C"/>
    <w:rsid w:val="00406F01"/>
    <w:rsid w:val="004143C6"/>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A563B"/>
    <w:rsid w:val="004E616D"/>
    <w:rsid w:val="004E6946"/>
    <w:rsid w:val="004F1AD8"/>
    <w:rsid w:val="005024C2"/>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5D7B04"/>
    <w:rsid w:val="00615EA1"/>
    <w:rsid w:val="00617CC3"/>
    <w:rsid w:val="006364FC"/>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20D1D"/>
    <w:rsid w:val="00732922"/>
    <w:rsid w:val="0075162E"/>
    <w:rsid w:val="00754034"/>
    <w:rsid w:val="00755DF0"/>
    <w:rsid w:val="00756556"/>
    <w:rsid w:val="007618C4"/>
    <w:rsid w:val="00767980"/>
    <w:rsid w:val="00770B19"/>
    <w:rsid w:val="0077463F"/>
    <w:rsid w:val="007756D0"/>
    <w:rsid w:val="007836EA"/>
    <w:rsid w:val="00784117"/>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6BCF"/>
    <w:rsid w:val="00817E9A"/>
    <w:rsid w:val="008306BD"/>
    <w:rsid w:val="00831A80"/>
    <w:rsid w:val="00833743"/>
    <w:rsid w:val="008340A4"/>
    <w:rsid w:val="008466CD"/>
    <w:rsid w:val="00847B53"/>
    <w:rsid w:val="0087135F"/>
    <w:rsid w:val="00872D94"/>
    <w:rsid w:val="00880364"/>
    <w:rsid w:val="00891592"/>
    <w:rsid w:val="00891E9E"/>
    <w:rsid w:val="008A2F68"/>
    <w:rsid w:val="008B01E6"/>
    <w:rsid w:val="008B4FA6"/>
    <w:rsid w:val="008B50DB"/>
    <w:rsid w:val="008B5282"/>
    <w:rsid w:val="008B7C17"/>
    <w:rsid w:val="008C2D01"/>
    <w:rsid w:val="008C40E6"/>
    <w:rsid w:val="008D0F7A"/>
    <w:rsid w:val="008D254B"/>
    <w:rsid w:val="008D68E4"/>
    <w:rsid w:val="008E0128"/>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16053"/>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D5792"/>
    <w:rsid w:val="00AF0CBF"/>
    <w:rsid w:val="00AF257F"/>
    <w:rsid w:val="00AF33CF"/>
    <w:rsid w:val="00AF4D50"/>
    <w:rsid w:val="00AF6179"/>
    <w:rsid w:val="00B1295A"/>
    <w:rsid w:val="00B170F2"/>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3682"/>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B1EB4"/>
    <w:rsid w:val="00CB5DEF"/>
    <w:rsid w:val="00CC489B"/>
    <w:rsid w:val="00CD2BCD"/>
    <w:rsid w:val="00CD3A4C"/>
    <w:rsid w:val="00CD6E1A"/>
    <w:rsid w:val="00CE10E9"/>
    <w:rsid w:val="00CE2910"/>
    <w:rsid w:val="00CE5393"/>
    <w:rsid w:val="00CF36BE"/>
    <w:rsid w:val="00CF6000"/>
    <w:rsid w:val="00D003F3"/>
    <w:rsid w:val="00D0364F"/>
    <w:rsid w:val="00D06834"/>
    <w:rsid w:val="00D308ED"/>
    <w:rsid w:val="00D3480E"/>
    <w:rsid w:val="00D36D86"/>
    <w:rsid w:val="00D428AA"/>
    <w:rsid w:val="00D50A34"/>
    <w:rsid w:val="00D53EFA"/>
    <w:rsid w:val="00D94A7C"/>
    <w:rsid w:val="00D95896"/>
    <w:rsid w:val="00DA7B99"/>
    <w:rsid w:val="00DB2983"/>
    <w:rsid w:val="00DC1257"/>
    <w:rsid w:val="00DC3DC0"/>
    <w:rsid w:val="00DC5A96"/>
    <w:rsid w:val="00DC5B2B"/>
    <w:rsid w:val="00DD318D"/>
    <w:rsid w:val="00DF2E12"/>
    <w:rsid w:val="00DF514A"/>
    <w:rsid w:val="00DF6690"/>
    <w:rsid w:val="00DF6804"/>
    <w:rsid w:val="00DF744C"/>
    <w:rsid w:val="00E0358D"/>
    <w:rsid w:val="00E04323"/>
    <w:rsid w:val="00E070A2"/>
    <w:rsid w:val="00E2656A"/>
    <w:rsid w:val="00E40E08"/>
    <w:rsid w:val="00E412D0"/>
    <w:rsid w:val="00E56322"/>
    <w:rsid w:val="00E60982"/>
    <w:rsid w:val="00E62C62"/>
    <w:rsid w:val="00E654C1"/>
    <w:rsid w:val="00E65D97"/>
    <w:rsid w:val="00E72A5A"/>
    <w:rsid w:val="00E73354"/>
    <w:rsid w:val="00E753BA"/>
    <w:rsid w:val="00E9242D"/>
    <w:rsid w:val="00EB5255"/>
    <w:rsid w:val="00EB5C47"/>
    <w:rsid w:val="00ED0639"/>
    <w:rsid w:val="00EE26E1"/>
    <w:rsid w:val="00EF4755"/>
    <w:rsid w:val="00EF7135"/>
    <w:rsid w:val="00F027DB"/>
    <w:rsid w:val="00F14A7A"/>
    <w:rsid w:val="00F22985"/>
    <w:rsid w:val="00F3383E"/>
    <w:rsid w:val="00F41E66"/>
    <w:rsid w:val="00F455A0"/>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1A2159"/>
    <w:rsid w:val="011A24F4"/>
    <w:rsid w:val="01290F7E"/>
    <w:rsid w:val="012D6713"/>
    <w:rsid w:val="015C2727"/>
    <w:rsid w:val="015D1E09"/>
    <w:rsid w:val="016E1F8C"/>
    <w:rsid w:val="017A4110"/>
    <w:rsid w:val="01D63375"/>
    <w:rsid w:val="01DE010B"/>
    <w:rsid w:val="01DF15DF"/>
    <w:rsid w:val="01E86154"/>
    <w:rsid w:val="01ED62C2"/>
    <w:rsid w:val="02134FF2"/>
    <w:rsid w:val="022644D4"/>
    <w:rsid w:val="022C0F47"/>
    <w:rsid w:val="022E3B75"/>
    <w:rsid w:val="0230687F"/>
    <w:rsid w:val="02520FE2"/>
    <w:rsid w:val="02697903"/>
    <w:rsid w:val="026C6B78"/>
    <w:rsid w:val="026C6D7F"/>
    <w:rsid w:val="026E6F9B"/>
    <w:rsid w:val="02AE57EC"/>
    <w:rsid w:val="02CA613F"/>
    <w:rsid w:val="02E96336"/>
    <w:rsid w:val="02F0175E"/>
    <w:rsid w:val="02F96569"/>
    <w:rsid w:val="02FA082F"/>
    <w:rsid w:val="030E40F5"/>
    <w:rsid w:val="0327669A"/>
    <w:rsid w:val="033469D1"/>
    <w:rsid w:val="03363FD7"/>
    <w:rsid w:val="034A3845"/>
    <w:rsid w:val="036D1B55"/>
    <w:rsid w:val="036F4D79"/>
    <w:rsid w:val="038F71C9"/>
    <w:rsid w:val="03A10CAA"/>
    <w:rsid w:val="03B67FCA"/>
    <w:rsid w:val="03E02FC4"/>
    <w:rsid w:val="03EA7B21"/>
    <w:rsid w:val="03FD4132"/>
    <w:rsid w:val="040305E5"/>
    <w:rsid w:val="0408706B"/>
    <w:rsid w:val="04096282"/>
    <w:rsid w:val="04135973"/>
    <w:rsid w:val="043B7C40"/>
    <w:rsid w:val="046D0A27"/>
    <w:rsid w:val="04926F71"/>
    <w:rsid w:val="04932CE9"/>
    <w:rsid w:val="04987BCD"/>
    <w:rsid w:val="04C37ADC"/>
    <w:rsid w:val="04E864CC"/>
    <w:rsid w:val="05014EAF"/>
    <w:rsid w:val="051623B9"/>
    <w:rsid w:val="05213B00"/>
    <w:rsid w:val="052F14D7"/>
    <w:rsid w:val="053242B0"/>
    <w:rsid w:val="05491E30"/>
    <w:rsid w:val="05510789"/>
    <w:rsid w:val="05660618"/>
    <w:rsid w:val="056D7F8C"/>
    <w:rsid w:val="05883ED0"/>
    <w:rsid w:val="05A33817"/>
    <w:rsid w:val="05DF5482"/>
    <w:rsid w:val="05E81FCA"/>
    <w:rsid w:val="05F83EAE"/>
    <w:rsid w:val="0602268B"/>
    <w:rsid w:val="061D6D0E"/>
    <w:rsid w:val="06272084"/>
    <w:rsid w:val="06385D83"/>
    <w:rsid w:val="063E7D85"/>
    <w:rsid w:val="06523C24"/>
    <w:rsid w:val="065C61C6"/>
    <w:rsid w:val="067F5587"/>
    <w:rsid w:val="06915006"/>
    <w:rsid w:val="06BB1D77"/>
    <w:rsid w:val="06E20FAC"/>
    <w:rsid w:val="06FA704F"/>
    <w:rsid w:val="06FD0428"/>
    <w:rsid w:val="07293586"/>
    <w:rsid w:val="07295285"/>
    <w:rsid w:val="072D08DE"/>
    <w:rsid w:val="072F103D"/>
    <w:rsid w:val="07374F63"/>
    <w:rsid w:val="07636392"/>
    <w:rsid w:val="07770C56"/>
    <w:rsid w:val="078132CC"/>
    <w:rsid w:val="07A67C50"/>
    <w:rsid w:val="07AA276E"/>
    <w:rsid w:val="07AE6051"/>
    <w:rsid w:val="07C10101"/>
    <w:rsid w:val="07C427FA"/>
    <w:rsid w:val="07DA30EB"/>
    <w:rsid w:val="07E03F1B"/>
    <w:rsid w:val="07F81DAE"/>
    <w:rsid w:val="08117291"/>
    <w:rsid w:val="08275C22"/>
    <w:rsid w:val="08321BB2"/>
    <w:rsid w:val="084402CA"/>
    <w:rsid w:val="085675C2"/>
    <w:rsid w:val="085E2F15"/>
    <w:rsid w:val="08756A05"/>
    <w:rsid w:val="087E766B"/>
    <w:rsid w:val="089808CE"/>
    <w:rsid w:val="08A11B29"/>
    <w:rsid w:val="08A51D28"/>
    <w:rsid w:val="08A7135F"/>
    <w:rsid w:val="08C2120E"/>
    <w:rsid w:val="08DE5EB6"/>
    <w:rsid w:val="08F5187C"/>
    <w:rsid w:val="08FC6E3E"/>
    <w:rsid w:val="092217DD"/>
    <w:rsid w:val="093A7294"/>
    <w:rsid w:val="093F6F9B"/>
    <w:rsid w:val="096B4234"/>
    <w:rsid w:val="099A7FE1"/>
    <w:rsid w:val="09A01020"/>
    <w:rsid w:val="09AA0BA3"/>
    <w:rsid w:val="0A1F4C3E"/>
    <w:rsid w:val="0A263993"/>
    <w:rsid w:val="0A274649"/>
    <w:rsid w:val="0A2D3AC2"/>
    <w:rsid w:val="0A42742A"/>
    <w:rsid w:val="0A4754A4"/>
    <w:rsid w:val="0A76201F"/>
    <w:rsid w:val="0A7D421F"/>
    <w:rsid w:val="0A856C30"/>
    <w:rsid w:val="0A954B60"/>
    <w:rsid w:val="0AA2252B"/>
    <w:rsid w:val="0AA755DF"/>
    <w:rsid w:val="0AA8771B"/>
    <w:rsid w:val="0AD1311B"/>
    <w:rsid w:val="0ADE4261"/>
    <w:rsid w:val="0AEB73DB"/>
    <w:rsid w:val="0AFA1765"/>
    <w:rsid w:val="0B120D44"/>
    <w:rsid w:val="0B1C65EE"/>
    <w:rsid w:val="0B26422A"/>
    <w:rsid w:val="0B321943"/>
    <w:rsid w:val="0B3253D1"/>
    <w:rsid w:val="0B46156B"/>
    <w:rsid w:val="0B5C264E"/>
    <w:rsid w:val="0B6C1151"/>
    <w:rsid w:val="0B76218D"/>
    <w:rsid w:val="0B845139"/>
    <w:rsid w:val="0B8A316F"/>
    <w:rsid w:val="0BAB7E43"/>
    <w:rsid w:val="0BD27BF6"/>
    <w:rsid w:val="0BE22648"/>
    <w:rsid w:val="0BE24B51"/>
    <w:rsid w:val="0BE532AD"/>
    <w:rsid w:val="0BF202F5"/>
    <w:rsid w:val="0C324B95"/>
    <w:rsid w:val="0C347D9F"/>
    <w:rsid w:val="0C370697"/>
    <w:rsid w:val="0C3B3C7D"/>
    <w:rsid w:val="0C41302A"/>
    <w:rsid w:val="0C42388B"/>
    <w:rsid w:val="0C465A73"/>
    <w:rsid w:val="0C76085A"/>
    <w:rsid w:val="0C9358E9"/>
    <w:rsid w:val="0C947910"/>
    <w:rsid w:val="0CAB2EAE"/>
    <w:rsid w:val="0CAF2BD7"/>
    <w:rsid w:val="0CBD657D"/>
    <w:rsid w:val="0CED3447"/>
    <w:rsid w:val="0D004C0A"/>
    <w:rsid w:val="0D0B521A"/>
    <w:rsid w:val="0D183D8B"/>
    <w:rsid w:val="0D3338BC"/>
    <w:rsid w:val="0D4921AC"/>
    <w:rsid w:val="0D4C2100"/>
    <w:rsid w:val="0D6118E9"/>
    <w:rsid w:val="0D621C7D"/>
    <w:rsid w:val="0D7579F8"/>
    <w:rsid w:val="0D7731A8"/>
    <w:rsid w:val="0D7F02AE"/>
    <w:rsid w:val="0D8257DE"/>
    <w:rsid w:val="0D8A2C79"/>
    <w:rsid w:val="0D9D2DE1"/>
    <w:rsid w:val="0DE545B5"/>
    <w:rsid w:val="0E2232E7"/>
    <w:rsid w:val="0E3D1D40"/>
    <w:rsid w:val="0E3F61EA"/>
    <w:rsid w:val="0E4D215A"/>
    <w:rsid w:val="0E540384"/>
    <w:rsid w:val="0E72207A"/>
    <w:rsid w:val="0E73034D"/>
    <w:rsid w:val="0E7E74A1"/>
    <w:rsid w:val="0E8740A0"/>
    <w:rsid w:val="0E931FD4"/>
    <w:rsid w:val="0EB145AC"/>
    <w:rsid w:val="0EBC3B83"/>
    <w:rsid w:val="0EC3299F"/>
    <w:rsid w:val="0EC70897"/>
    <w:rsid w:val="0EC903CF"/>
    <w:rsid w:val="0F13775A"/>
    <w:rsid w:val="0F1B3A30"/>
    <w:rsid w:val="0F1C3FB7"/>
    <w:rsid w:val="0F1C5C77"/>
    <w:rsid w:val="0F1F23E8"/>
    <w:rsid w:val="0F215EBA"/>
    <w:rsid w:val="0F3A57FA"/>
    <w:rsid w:val="0F44530B"/>
    <w:rsid w:val="0F461537"/>
    <w:rsid w:val="0F4C2412"/>
    <w:rsid w:val="0F52491F"/>
    <w:rsid w:val="0F527FE9"/>
    <w:rsid w:val="0F571727"/>
    <w:rsid w:val="0F5970BC"/>
    <w:rsid w:val="0F5F45FE"/>
    <w:rsid w:val="0F6349C9"/>
    <w:rsid w:val="0F69741B"/>
    <w:rsid w:val="0F814C14"/>
    <w:rsid w:val="0F847DFE"/>
    <w:rsid w:val="0F9A112B"/>
    <w:rsid w:val="0FA02F99"/>
    <w:rsid w:val="0FA638D0"/>
    <w:rsid w:val="0FC3709B"/>
    <w:rsid w:val="0FC43178"/>
    <w:rsid w:val="0FD02849"/>
    <w:rsid w:val="100E4C32"/>
    <w:rsid w:val="100F779E"/>
    <w:rsid w:val="1013728F"/>
    <w:rsid w:val="102A1EA4"/>
    <w:rsid w:val="106D2F64"/>
    <w:rsid w:val="10843981"/>
    <w:rsid w:val="108E7658"/>
    <w:rsid w:val="109E6C9D"/>
    <w:rsid w:val="10A122E9"/>
    <w:rsid w:val="10A40643"/>
    <w:rsid w:val="10B568AB"/>
    <w:rsid w:val="10B63710"/>
    <w:rsid w:val="10C52184"/>
    <w:rsid w:val="10C771ED"/>
    <w:rsid w:val="10D34C5C"/>
    <w:rsid w:val="10DD1B89"/>
    <w:rsid w:val="10EA74A4"/>
    <w:rsid w:val="10F10820"/>
    <w:rsid w:val="10F45DEF"/>
    <w:rsid w:val="10FF7941"/>
    <w:rsid w:val="110A634C"/>
    <w:rsid w:val="110B61A3"/>
    <w:rsid w:val="111B6540"/>
    <w:rsid w:val="111C2F7A"/>
    <w:rsid w:val="11220AF8"/>
    <w:rsid w:val="113F4DD1"/>
    <w:rsid w:val="11573208"/>
    <w:rsid w:val="11665CA1"/>
    <w:rsid w:val="116C6D9B"/>
    <w:rsid w:val="1176519E"/>
    <w:rsid w:val="118A4764"/>
    <w:rsid w:val="1196667E"/>
    <w:rsid w:val="11A7090D"/>
    <w:rsid w:val="11C505EC"/>
    <w:rsid w:val="11E3705D"/>
    <w:rsid w:val="121C62B6"/>
    <w:rsid w:val="123969CC"/>
    <w:rsid w:val="12466BB6"/>
    <w:rsid w:val="1264347E"/>
    <w:rsid w:val="12695089"/>
    <w:rsid w:val="12745F08"/>
    <w:rsid w:val="12957C2C"/>
    <w:rsid w:val="12CE2A94"/>
    <w:rsid w:val="12D44DD3"/>
    <w:rsid w:val="12DD1CFF"/>
    <w:rsid w:val="12E1131A"/>
    <w:rsid w:val="12E35F6B"/>
    <w:rsid w:val="13003800"/>
    <w:rsid w:val="1315436E"/>
    <w:rsid w:val="132D5847"/>
    <w:rsid w:val="133236CD"/>
    <w:rsid w:val="13410AB9"/>
    <w:rsid w:val="1344477A"/>
    <w:rsid w:val="13482EF0"/>
    <w:rsid w:val="135021CD"/>
    <w:rsid w:val="13557655"/>
    <w:rsid w:val="13721650"/>
    <w:rsid w:val="1375659A"/>
    <w:rsid w:val="13951726"/>
    <w:rsid w:val="13AB37B4"/>
    <w:rsid w:val="13B25D6A"/>
    <w:rsid w:val="13B86E94"/>
    <w:rsid w:val="13BD743A"/>
    <w:rsid w:val="13C729FF"/>
    <w:rsid w:val="13ED44FF"/>
    <w:rsid w:val="14204812"/>
    <w:rsid w:val="1425688C"/>
    <w:rsid w:val="14396509"/>
    <w:rsid w:val="14504752"/>
    <w:rsid w:val="145A2EDB"/>
    <w:rsid w:val="145F48BF"/>
    <w:rsid w:val="14834729"/>
    <w:rsid w:val="149C34F4"/>
    <w:rsid w:val="14AA1DA6"/>
    <w:rsid w:val="14DD2C3C"/>
    <w:rsid w:val="14DF59D1"/>
    <w:rsid w:val="14FB2910"/>
    <w:rsid w:val="15095086"/>
    <w:rsid w:val="1517080A"/>
    <w:rsid w:val="151E347F"/>
    <w:rsid w:val="152063A5"/>
    <w:rsid w:val="153F7167"/>
    <w:rsid w:val="158E6FF2"/>
    <w:rsid w:val="15D11068"/>
    <w:rsid w:val="15DA35DD"/>
    <w:rsid w:val="15E211F7"/>
    <w:rsid w:val="15EE286B"/>
    <w:rsid w:val="15EE7622"/>
    <w:rsid w:val="16087E1D"/>
    <w:rsid w:val="16157DE9"/>
    <w:rsid w:val="162714E3"/>
    <w:rsid w:val="163D4598"/>
    <w:rsid w:val="164F5963"/>
    <w:rsid w:val="165837CB"/>
    <w:rsid w:val="16770F7C"/>
    <w:rsid w:val="16787B3F"/>
    <w:rsid w:val="168A5C34"/>
    <w:rsid w:val="168D7E8C"/>
    <w:rsid w:val="16A12A14"/>
    <w:rsid w:val="16B15B8F"/>
    <w:rsid w:val="16B52705"/>
    <w:rsid w:val="16B56AEF"/>
    <w:rsid w:val="16B8213B"/>
    <w:rsid w:val="16D33724"/>
    <w:rsid w:val="16D55D26"/>
    <w:rsid w:val="16E81EA3"/>
    <w:rsid w:val="170D448D"/>
    <w:rsid w:val="173369B9"/>
    <w:rsid w:val="17526AFC"/>
    <w:rsid w:val="17582680"/>
    <w:rsid w:val="17701D14"/>
    <w:rsid w:val="17726B6D"/>
    <w:rsid w:val="17735226"/>
    <w:rsid w:val="17823B68"/>
    <w:rsid w:val="179E4FBA"/>
    <w:rsid w:val="17AE5E35"/>
    <w:rsid w:val="17C04657"/>
    <w:rsid w:val="17C76AD9"/>
    <w:rsid w:val="17E56F60"/>
    <w:rsid w:val="17EF7DDE"/>
    <w:rsid w:val="17F20716"/>
    <w:rsid w:val="180D729A"/>
    <w:rsid w:val="18237A0D"/>
    <w:rsid w:val="182614DC"/>
    <w:rsid w:val="183C74C7"/>
    <w:rsid w:val="183F0D66"/>
    <w:rsid w:val="1851697A"/>
    <w:rsid w:val="185340A1"/>
    <w:rsid w:val="185A5EAF"/>
    <w:rsid w:val="18850948"/>
    <w:rsid w:val="188E71FD"/>
    <w:rsid w:val="189F624C"/>
    <w:rsid w:val="18B674D8"/>
    <w:rsid w:val="18C0612C"/>
    <w:rsid w:val="18D426C3"/>
    <w:rsid w:val="18E23D7D"/>
    <w:rsid w:val="18FC4D43"/>
    <w:rsid w:val="1909120F"/>
    <w:rsid w:val="19346481"/>
    <w:rsid w:val="19440029"/>
    <w:rsid w:val="19445E70"/>
    <w:rsid w:val="195C3C3F"/>
    <w:rsid w:val="19687E48"/>
    <w:rsid w:val="198D18B3"/>
    <w:rsid w:val="19CC3E19"/>
    <w:rsid w:val="19D76D7C"/>
    <w:rsid w:val="19EF489F"/>
    <w:rsid w:val="19FD3530"/>
    <w:rsid w:val="1A006F3B"/>
    <w:rsid w:val="1A18361C"/>
    <w:rsid w:val="1A1A2E0A"/>
    <w:rsid w:val="1A1C66C0"/>
    <w:rsid w:val="1A2F6BB8"/>
    <w:rsid w:val="1A300D5A"/>
    <w:rsid w:val="1A42393B"/>
    <w:rsid w:val="1A56468D"/>
    <w:rsid w:val="1A6467F8"/>
    <w:rsid w:val="1A8213DE"/>
    <w:rsid w:val="1AAD45DE"/>
    <w:rsid w:val="1AC30C61"/>
    <w:rsid w:val="1AC30F79"/>
    <w:rsid w:val="1AC32E5A"/>
    <w:rsid w:val="1AFD2812"/>
    <w:rsid w:val="1B046F80"/>
    <w:rsid w:val="1B1778DC"/>
    <w:rsid w:val="1B245FF1"/>
    <w:rsid w:val="1B3267B5"/>
    <w:rsid w:val="1B3C50FB"/>
    <w:rsid w:val="1B40161D"/>
    <w:rsid w:val="1B414F46"/>
    <w:rsid w:val="1B441859"/>
    <w:rsid w:val="1B4B5485"/>
    <w:rsid w:val="1B6606B1"/>
    <w:rsid w:val="1B737673"/>
    <w:rsid w:val="1B7E7F6F"/>
    <w:rsid w:val="1B957D42"/>
    <w:rsid w:val="1B9A77FE"/>
    <w:rsid w:val="1BB112EE"/>
    <w:rsid w:val="1BC03F6C"/>
    <w:rsid w:val="1BE962BA"/>
    <w:rsid w:val="1BEF4851"/>
    <w:rsid w:val="1BF445C6"/>
    <w:rsid w:val="1BF96BFB"/>
    <w:rsid w:val="1C0134EE"/>
    <w:rsid w:val="1C367C2C"/>
    <w:rsid w:val="1C3861F8"/>
    <w:rsid w:val="1C435820"/>
    <w:rsid w:val="1C592CFF"/>
    <w:rsid w:val="1C5E7925"/>
    <w:rsid w:val="1C71533D"/>
    <w:rsid w:val="1C751AA9"/>
    <w:rsid w:val="1CA9437C"/>
    <w:rsid w:val="1CBE2D2C"/>
    <w:rsid w:val="1CCD3060"/>
    <w:rsid w:val="1CDC4D31"/>
    <w:rsid w:val="1CDD127F"/>
    <w:rsid w:val="1CDF75E5"/>
    <w:rsid w:val="1CE42B6E"/>
    <w:rsid w:val="1CEC226F"/>
    <w:rsid w:val="1CEC2B3E"/>
    <w:rsid w:val="1CFD070F"/>
    <w:rsid w:val="1CFF6AA9"/>
    <w:rsid w:val="1D326C0F"/>
    <w:rsid w:val="1D5A14D3"/>
    <w:rsid w:val="1D5F6196"/>
    <w:rsid w:val="1D6132A5"/>
    <w:rsid w:val="1D7C0235"/>
    <w:rsid w:val="1D821737"/>
    <w:rsid w:val="1D8E56D5"/>
    <w:rsid w:val="1DAA4ED3"/>
    <w:rsid w:val="1DCB7CD3"/>
    <w:rsid w:val="1DDB2D71"/>
    <w:rsid w:val="1DE71C83"/>
    <w:rsid w:val="1DFC0135"/>
    <w:rsid w:val="1E036392"/>
    <w:rsid w:val="1E042BCD"/>
    <w:rsid w:val="1E2527AC"/>
    <w:rsid w:val="1E343E4D"/>
    <w:rsid w:val="1E454BFC"/>
    <w:rsid w:val="1E650E42"/>
    <w:rsid w:val="1E721D6B"/>
    <w:rsid w:val="1E7A43DA"/>
    <w:rsid w:val="1E84024F"/>
    <w:rsid w:val="1E8438B3"/>
    <w:rsid w:val="1E92440A"/>
    <w:rsid w:val="1E961EEB"/>
    <w:rsid w:val="1EAA3C27"/>
    <w:rsid w:val="1EE6018D"/>
    <w:rsid w:val="1F38206B"/>
    <w:rsid w:val="1F505C31"/>
    <w:rsid w:val="1F810A2E"/>
    <w:rsid w:val="1F8A547E"/>
    <w:rsid w:val="1F8F4381"/>
    <w:rsid w:val="1FD004F5"/>
    <w:rsid w:val="1FE7539E"/>
    <w:rsid w:val="1FEC0C4E"/>
    <w:rsid w:val="1FFA127D"/>
    <w:rsid w:val="201C373B"/>
    <w:rsid w:val="204953F8"/>
    <w:rsid w:val="20671BE0"/>
    <w:rsid w:val="20800CCA"/>
    <w:rsid w:val="208F3B0D"/>
    <w:rsid w:val="209475A3"/>
    <w:rsid w:val="20963CB8"/>
    <w:rsid w:val="209C6D3F"/>
    <w:rsid w:val="209D1F41"/>
    <w:rsid w:val="209E45AB"/>
    <w:rsid w:val="20A81A1B"/>
    <w:rsid w:val="20B07FB6"/>
    <w:rsid w:val="20B646FB"/>
    <w:rsid w:val="20CF4C51"/>
    <w:rsid w:val="210A1BFF"/>
    <w:rsid w:val="210C6D52"/>
    <w:rsid w:val="213B74B1"/>
    <w:rsid w:val="21423675"/>
    <w:rsid w:val="214340ED"/>
    <w:rsid w:val="21576062"/>
    <w:rsid w:val="215A2310"/>
    <w:rsid w:val="21810B0D"/>
    <w:rsid w:val="21893052"/>
    <w:rsid w:val="21894E00"/>
    <w:rsid w:val="218E2416"/>
    <w:rsid w:val="21926DB7"/>
    <w:rsid w:val="21B75E11"/>
    <w:rsid w:val="21C35A33"/>
    <w:rsid w:val="21DC5870"/>
    <w:rsid w:val="21DD6EFA"/>
    <w:rsid w:val="21DE318A"/>
    <w:rsid w:val="21EE1107"/>
    <w:rsid w:val="21EF5B80"/>
    <w:rsid w:val="21F05C44"/>
    <w:rsid w:val="21FF30B3"/>
    <w:rsid w:val="220F17A9"/>
    <w:rsid w:val="222537E6"/>
    <w:rsid w:val="222F1E4B"/>
    <w:rsid w:val="222F2D19"/>
    <w:rsid w:val="225004C4"/>
    <w:rsid w:val="225336D8"/>
    <w:rsid w:val="22576990"/>
    <w:rsid w:val="22665141"/>
    <w:rsid w:val="22717444"/>
    <w:rsid w:val="228D0C62"/>
    <w:rsid w:val="22B36A63"/>
    <w:rsid w:val="22C14300"/>
    <w:rsid w:val="22CC0453"/>
    <w:rsid w:val="22F47480"/>
    <w:rsid w:val="232037E7"/>
    <w:rsid w:val="2326029C"/>
    <w:rsid w:val="232A3240"/>
    <w:rsid w:val="232E01C8"/>
    <w:rsid w:val="23334310"/>
    <w:rsid w:val="233B2251"/>
    <w:rsid w:val="233F357F"/>
    <w:rsid w:val="23603B94"/>
    <w:rsid w:val="23743B99"/>
    <w:rsid w:val="237C27B7"/>
    <w:rsid w:val="237C4C1C"/>
    <w:rsid w:val="23812232"/>
    <w:rsid w:val="23900F7D"/>
    <w:rsid w:val="23DE1C48"/>
    <w:rsid w:val="23FD637A"/>
    <w:rsid w:val="240036A6"/>
    <w:rsid w:val="240210CD"/>
    <w:rsid w:val="24106DE4"/>
    <w:rsid w:val="24154794"/>
    <w:rsid w:val="242478B3"/>
    <w:rsid w:val="243B5370"/>
    <w:rsid w:val="24417249"/>
    <w:rsid w:val="24615170"/>
    <w:rsid w:val="246B1A2C"/>
    <w:rsid w:val="24992818"/>
    <w:rsid w:val="249B3580"/>
    <w:rsid w:val="24BF09F7"/>
    <w:rsid w:val="24C70119"/>
    <w:rsid w:val="24D97E4C"/>
    <w:rsid w:val="24F133E8"/>
    <w:rsid w:val="24F430F9"/>
    <w:rsid w:val="251D291E"/>
    <w:rsid w:val="252D53FE"/>
    <w:rsid w:val="253A1753"/>
    <w:rsid w:val="25461985"/>
    <w:rsid w:val="258A0D66"/>
    <w:rsid w:val="25A91F14"/>
    <w:rsid w:val="25AB17E9"/>
    <w:rsid w:val="25B45309"/>
    <w:rsid w:val="25C30C44"/>
    <w:rsid w:val="25CF1AA3"/>
    <w:rsid w:val="25D857E8"/>
    <w:rsid w:val="25E45D7F"/>
    <w:rsid w:val="25EC2D81"/>
    <w:rsid w:val="260B73DA"/>
    <w:rsid w:val="261B349C"/>
    <w:rsid w:val="26355FAB"/>
    <w:rsid w:val="268F48B7"/>
    <w:rsid w:val="2691110E"/>
    <w:rsid w:val="26C17A18"/>
    <w:rsid w:val="26C35E64"/>
    <w:rsid w:val="26D72D6F"/>
    <w:rsid w:val="26DE4B23"/>
    <w:rsid w:val="26E155BF"/>
    <w:rsid w:val="2706734A"/>
    <w:rsid w:val="27090D37"/>
    <w:rsid w:val="273677D8"/>
    <w:rsid w:val="275F6D2E"/>
    <w:rsid w:val="27670866"/>
    <w:rsid w:val="277057A2"/>
    <w:rsid w:val="27710810"/>
    <w:rsid w:val="277976C4"/>
    <w:rsid w:val="277C0514"/>
    <w:rsid w:val="27803E9E"/>
    <w:rsid w:val="278748AF"/>
    <w:rsid w:val="27915A35"/>
    <w:rsid w:val="27AF7F81"/>
    <w:rsid w:val="27D5743B"/>
    <w:rsid w:val="27F679C7"/>
    <w:rsid w:val="281A0EA7"/>
    <w:rsid w:val="2829733C"/>
    <w:rsid w:val="282D57F7"/>
    <w:rsid w:val="283720F8"/>
    <w:rsid w:val="283D5CD3"/>
    <w:rsid w:val="284E0B51"/>
    <w:rsid w:val="28545E7B"/>
    <w:rsid w:val="28681C13"/>
    <w:rsid w:val="28687E65"/>
    <w:rsid w:val="286A5ACE"/>
    <w:rsid w:val="28B32244"/>
    <w:rsid w:val="28D44C9D"/>
    <w:rsid w:val="28ED3DAD"/>
    <w:rsid w:val="28FD67FF"/>
    <w:rsid w:val="2906166E"/>
    <w:rsid w:val="29206EB8"/>
    <w:rsid w:val="29552B8F"/>
    <w:rsid w:val="29595666"/>
    <w:rsid w:val="296249CA"/>
    <w:rsid w:val="2973261D"/>
    <w:rsid w:val="29787372"/>
    <w:rsid w:val="29874881"/>
    <w:rsid w:val="29A8082D"/>
    <w:rsid w:val="29AA0009"/>
    <w:rsid w:val="29B72C26"/>
    <w:rsid w:val="29B827CE"/>
    <w:rsid w:val="29C30C90"/>
    <w:rsid w:val="29E325E0"/>
    <w:rsid w:val="2A0D0ECC"/>
    <w:rsid w:val="2A187926"/>
    <w:rsid w:val="2A3824C7"/>
    <w:rsid w:val="2A452503"/>
    <w:rsid w:val="2A633EC8"/>
    <w:rsid w:val="2A826DD5"/>
    <w:rsid w:val="2A8E413C"/>
    <w:rsid w:val="2A9711E3"/>
    <w:rsid w:val="2AA20617"/>
    <w:rsid w:val="2AAA76C0"/>
    <w:rsid w:val="2AAF3B29"/>
    <w:rsid w:val="2ABC1DA2"/>
    <w:rsid w:val="2ABF0633"/>
    <w:rsid w:val="2AD0584D"/>
    <w:rsid w:val="2AD44BB4"/>
    <w:rsid w:val="2ADA411F"/>
    <w:rsid w:val="2AF459E0"/>
    <w:rsid w:val="2AF62F4B"/>
    <w:rsid w:val="2AFC2AE6"/>
    <w:rsid w:val="2B0D039D"/>
    <w:rsid w:val="2B1C6D08"/>
    <w:rsid w:val="2B560404"/>
    <w:rsid w:val="2B591CE7"/>
    <w:rsid w:val="2B786611"/>
    <w:rsid w:val="2B7F223A"/>
    <w:rsid w:val="2B8D5DF0"/>
    <w:rsid w:val="2B912EA4"/>
    <w:rsid w:val="2BA547D2"/>
    <w:rsid w:val="2BA936A8"/>
    <w:rsid w:val="2BBE1B4A"/>
    <w:rsid w:val="2BC53D32"/>
    <w:rsid w:val="2BCB00DF"/>
    <w:rsid w:val="2BE36D50"/>
    <w:rsid w:val="2BFB2D9E"/>
    <w:rsid w:val="2C315A5A"/>
    <w:rsid w:val="2C364EF6"/>
    <w:rsid w:val="2C4754C1"/>
    <w:rsid w:val="2C477D91"/>
    <w:rsid w:val="2C4B1C25"/>
    <w:rsid w:val="2C80730E"/>
    <w:rsid w:val="2C8617EF"/>
    <w:rsid w:val="2CBF458F"/>
    <w:rsid w:val="2CC17C4B"/>
    <w:rsid w:val="2CC75A9B"/>
    <w:rsid w:val="2CCB6AD8"/>
    <w:rsid w:val="2CEA623F"/>
    <w:rsid w:val="2D047A30"/>
    <w:rsid w:val="2D30119A"/>
    <w:rsid w:val="2D4A0FCF"/>
    <w:rsid w:val="2D6C0D7C"/>
    <w:rsid w:val="2D9B4EB4"/>
    <w:rsid w:val="2D9E56F5"/>
    <w:rsid w:val="2DA1674D"/>
    <w:rsid w:val="2DB87198"/>
    <w:rsid w:val="2DC97E98"/>
    <w:rsid w:val="2DE6045A"/>
    <w:rsid w:val="2DF7080D"/>
    <w:rsid w:val="2E014236"/>
    <w:rsid w:val="2E0D65E9"/>
    <w:rsid w:val="2E2965DD"/>
    <w:rsid w:val="2E2E09AE"/>
    <w:rsid w:val="2E44688D"/>
    <w:rsid w:val="2E6469D8"/>
    <w:rsid w:val="2E667F96"/>
    <w:rsid w:val="2E69421A"/>
    <w:rsid w:val="2E8226AB"/>
    <w:rsid w:val="2E8E614B"/>
    <w:rsid w:val="2EB73D3B"/>
    <w:rsid w:val="2EB91EB6"/>
    <w:rsid w:val="2EDD5083"/>
    <w:rsid w:val="2EF712E8"/>
    <w:rsid w:val="2EF76A64"/>
    <w:rsid w:val="2F050FB6"/>
    <w:rsid w:val="2F0D3DD9"/>
    <w:rsid w:val="2F273027"/>
    <w:rsid w:val="2F2C0104"/>
    <w:rsid w:val="2F3B1534"/>
    <w:rsid w:val="2F413EBE"/>
    <w:rsid w:val="2F4154E4"/>
    <w:rsid w:val="2F673929"/>
    <w:rsid w:val="2F6F1E64"/>
    <w:rsid w:val="2F950B5C"/>
    <w:rsid w:val="2FA774C5"/>
    <w:rsid w:val="2FD065E6"/>
    <w:rsid w:val="2FD73C79"/>
    <w:rsid w:val="2FD96870"/>
    <w:rsid w:val="2FDE4AAA"/>
    <w:rsid w:val="2FFB15BE"/>
    <w:rsid w:val="300706AB"/>
    <w:rsid w:val="300A3A13"/>
    <w:rsid w:val="30246D65"/>
    <w:rsid w:val="30297EDA"/>
    <w:rsid w:val="30567DCD"/>
    <w:rsid w:val="30580BC9"/>
    <w:rsid w:val="308A649E"/>
    <w:rsid w:val="30A8101C"/>
    <w:rsid w:val="30AC3E4A"/>
    <w:rsid w:val="30AE3AAE"/>
    <w:rsid w:val="30BF48AE"/>
    <w:rsid w:val="30C47C02"/>
    <w:rsid w:val="30FB6416"/>
    <w:rsid w:val="31177DF5"/>
    <w:rsid w:val="311C7ECD"/>
    <w:rsid w:val="311E2ED7"/>
    <w:rsid w:val="312A215B"/>
    <w:rsid w:val="31374878"/>
    <w:rsid w:val="313A113F"/>
    <w:rsid w:val="313F54DB"/>
    <w:rsid w:val="31442AF1"/>
    <w:rsid w:val="315619EE"/>
    <w:rsid w:val="315A0F54"/>
    <w:rsid w:val="315C449C"/>
    <w:rsid w:val="317F24AF"/>
    <w:rsid w:val="318F7141"/>
    <w:rsid w:val="3195334D"/>
    <w:rsid w:val="319B6BB5"/>
    <w:rsid w:val="31A0508F"/>
    <w:rsid w:val="31A517E2"/>
    <w:rsid w:val="31AF0F87"/>
    <w:rsid w:val="31B5748C"/>
    <w:rsid w:val="31B82709"/>
    <w:rsid w:val="31BE5B76"/>
    <w:rsid w:val="31BF7929"/>
    <w:rsid w:val="31C84FFD"/>
    <w:rsid w:val="31CB6D6E"/>
    <w:rsid w:val="31D05482"/>
    <w:rsid w:val="31D10829"/>
    <w:rsid w:val="31D21ED3"/>
    <w:rsid w:val="31F133B5"/>
    <w:rsid w:val="321150C9"/>
    <w:rsid w:val="32192990"/>
    <w:rsid w:val="322C3CB1"/>
    <w:rsid w:val="32400B34"/>
    <w:rsid w:val="32431B78"/>
    <w:rsid w:val="328A2056"/>
    <w:rsid w:val="32942864"/>
    <w:rsid w:val="329756DB"/>
    <w:rsid w:val="329E6876"/>
    <w:rsid w:val="32A8749F"/>
    <w:rsid w:val="32B32B85"/>
    <w:rsid w:val="32B75237"/>
    <w:rsid w:val="32DF6F75"/>
    <w:rsid w:val="32FB2FA6"/>
    <w:rsid w:val="33114AAD"/>
    <w:rsid w:val="331F7E2B"/>
    <w:rsid w:val="333015F2"/>
    <w:rsid w:val="333948D8"/>
    <w:rsid w:val="333B55CC"/>
    <w:rsid w:val="3340497E"/>
    <w:rsid w:val="334B6320"/>
    <w:rsid w:val="335B711A"/>
    <w:rsid w:val="336D3602"/>
    <w:rsid w:val="33992DB8"/>
    <w:rsid w:val="33AC13D0"/>
    <w:rsid w:val="33B72F85"/>
    <w:rsid w:val="33C3132F"/>
    <w:rsid w:val="33C87A09"/>
    <w:rsid w:val="33CB12A8"/>
    <w:rsid w:val="33CB5519"/>
    <w:rsid w:val="33D8257C"/>
    <w:rsid w:val="33D934D4"/>
    <w:rsid w:val="33FE2F6A"/>
    <w:rsid w:val="340E07E5"/>
    <w:rsid w:val="341B5471"/>
    <w:rsid w:val="34235BF7"/>
    <w:rsid w:val="34384B8F"/>
    <w:rsid w:val="3459059E"/>
    <w:rsid w:val="34772FF0"/>
    <w:rsid w:val="349F1A1E"/>
    <w:rsid w:val="34D348B8"/>
    <w:rsid w:val="34F24439"/>
    <w:rsid w:val="351667B5"/>
    <w:rsid w:val="351A0CDF"/>
    <w:rsid w:val="355F7EFA"/>
    <w:rsid w:val="35700D38"/>
    <w:rsid w:val="35773495"/>
    <w:rsid w:val="357A4053"/>
    <w:rsid w:val="357A69D2"/>
    <w:rsid w:val="35847960"/>
    <w:rsid w:val="358C5FA8"/>
    <w:rsid w:val="35B8363B"/>
    <w:rsid w:val="35BA63B1"/>
    <w:rsid w:val="35BC5D36"/>
    <w:rsid w:val="35C15DF1"/>
    <w:rsid w:val="35C720CE"/>
    <w:rsid w:val="35E82609"/>
    <w:rsid w:val="35F819BD"/>
    <w:rsid w:val="36074A7F"/>
    <w:rsid w:val="362B2A1F"/>
    <w:rsid w:val="364414B7"/>
    <w:rsid w:val="36452627"/>
    <w:rsid w:val="364F7F6E"/>
    <w:rsid w:val="36804DC1"/>
    <w:rsid w:val="368816D2"/>
    <w:rsid w:val="36923549"/>
    <w:rsid w:val="36AA01BB"/>
    <w:rsid w:val="36B75FBF"/>
    <w:rsid w:val="36BD0C45"/>
    <w:rsid w:val="36C66189"/>
    <w:rsid w:val="36EF2223"/>
    <w:rsid w:val="370A1CBE"/>
    <w:rsid w:val="371754F7"/>
    <w:rsid w:val="371B3D91"/>
    <w:rsid w:val="371F60C8"/>
    <w:rsid w:val="373360C5"/>
    <w:rsid w:val="373F708B"/>
    <w:rsid w:val="3748151D"/>
    <w:rsid w:val="3772660A"/>
    <w:rsid w:val="377C1237"/>
    <w:rsid w:val="37890A3B"/>
    <w:rsid w:val="3789574D"/>
    <w:rsid w:val="379B16D9"/>
    <w:rsid w:val="37BF2ED1"/>
    <w:rsid w:val="37DC1CD5"/>
    <w:rsid w:val="37E00298"/>
    <w:rsid w:val="38024D48"/>
    <w:rsid w:val="380B4282"/>
    <w:rsid w:val="38156E1D"/>
    <w:rsid w:val="3838395F"/>
    <w:rsid w:val="385B0E4C"/>
    <w:rsid w:val="38850B1F"/>
    <w:rsid w:val="389F4DD5"/>
    <w:rsid w:val="38A13531"/>
    <w:rsid w:val="38B302F9"/>
    <w:rsid w:val="38B95B73"/>
    <w:rsid w:val="38C5491B"/>
    <w:rsid w:val="38F12CD3"/>
    <w:rsid w:val="38F94775"/>
    <w:rsid w:val="391C4200"/>
    <w:rsid w:val="392971ED"/>
    <w:rsid w:val="39325651"/>
    <w:rsid w:val="3939368B"/>
    <w:rsid w:val="39691347"/>
    <w:rsid w:val="397D4DF2"/>
    <w:rsid w:val="398306E1"/>
    <w:rsid w:val="39965BC1"/>
    <w:rsid w:val="39A02A01"/>
    <w:rsid w:val="39DC77A4"/>
    <w:rsid w:val="3A1B2499"/>
    <w:rsid w:val="3A236211"/>
    <w:rsid w:val="3A2846C7"/>
    <w:rsid w:val="3A3219E1"/>
    <w:rsid w:val="3A5B7F6B"/>
    <w:rsid w:val="3A5C4B59"/>
    <w:rsid w:val="3A716DDB"/>
    <w:rsid w:val="3A8436DD"/>
    <w:rsid w:val="3A872856"/>
    <w:rsid w:val="3A983332"/>
    <w:rsid w:val="3AD153F6"/>
    <w:rsid w:val="3ADE3FB6"/>
    <w:rsid w:val="3AEA7B3F"/>
    <w:rsid w:val="3AFF5F0C"/>
    <w:rsid w:val="3B191D08"/>
    <w:rsid w:val="3B236212"/>
    <w:rsid w:val="3B3763D1"/>
    <w:rsid w:val="3B4172BD"/>
    <w:rsid w:val="3B457B92"/>
    <w:rsid w:val="3B482B60"/>
    <w:rsid w:val="3B547A58"/>
    <w:rsid w:val="3B85718B"/>
    <w:rsid w:val="3B96663F"/>
    <w:rsid w:val="3B983052"/>
    <w:rsid w:val="3B9F54F4"/>
    <w:rsid w:val="3BE3111D"/>
    <w:rsid w:val="3C074630"/>
    <w:rsid w:val="3C2562FF"/>
    <w:rsid w:val="3C2F6E1E"/>
    <w:rsid w:val="3C4E2A76"/>
    <w:rsid w:val="3C4F64BA"/>
    <w:rsid w:val="3C5657F5"/>
    <w:rsid w:val="3C6856AF"/>
    <w:rsid w:val="3C874A04"/>
    <w:rsid w:val="3C89753B"/>
    <w:rsid w:val="3C8C1F1C"/>
    <w:rsid w:val="3C9E0432"/>
    <w:rsid w:val="3C9F3137"/>
    <w:rsid w:val="3CA408E8"/>
    <w:rsid w:val="3CBD0375"/>
    <w:rsid w:val="3CC744BE"/>
    <w:rsid w:val="3CDA245A"/>
    <w:rsid w:val="3CF17FD1"/>
    <w:rsid w:val="3D1E06B7"/>
    <w:rsid w:val="3D2D6B2F"/>
    <w:rsid w:val="3D31661F"/>
    <w:rsid w:val="3D3659E4"/>
    <w:rsid w:val="3D590E2D"/>
    <w:rsid w:val="3D5C2E79"/>
    <w:rsid w:val="3D675B0A"/>
    <w:rsid w:val="3D6D2722"/>
    <w:rsid w:val="3D6F0EF6"/>
    <w:rsid w:val="3D74036F"/>
    <w:rsid w:val="3D891FB8"/>
    <w:rsid w:val="3DB14F5F"/>
    <w:rsid w:val="3DD63A95"/>
    <w:rsid w:val="3DE460B2"/>
    <w:rsid w:val="3E0571A1"/>
    <w:rsid w:val="3E1806D7"/>
    <w:rsid w:val="3E3B4763"/>
    <w:rsid w:val="3E4A09EA"/>
    <w:rsid w:val="3E4F4D0A"/>
    <w:rsid w:val="3E584C2E"/>
    <w:rsid w:val="3E5A5D0D"/>
    <w:rsid w:val="3E5C5D27"/>
    <w:rsid w:val="3E732457"/>
    <w:rsid w:val="3E831EFD"/>
    <w:rsid w:val="3E987349"/>
    <w:rsid w:val="3EBE40A8"/>
    <w:rsid w:val="3ECC2AA4"/>
    <w:rsid w:val="3ED226FE"/>
    <w:rsid w:val="3EDA0523"/>
    <w:rsid w:val="3EE265F6"/>
    <w:rsid w:val="3EE43DBA"/>
    <w:rsid w:val="3EE72BD5"/>
    <w:rsid w:val="3EED6576"/>
    <w:rsid w:val="3EFD787E"/>
    <w:rsid w:val="3F0205F3"/>
    <w:rsid w:val="3F1F2B73"/>
    <w:rsid w:val="3F3243E3"/>
    <w:rsid w:val="3F816941"/>
    <w:rsid w:val="3F8A6E94"/>
    <w:rsid w:val="3F9133A5"/>
    <w:rsid w:val="3F92209E"/>
    <w:rsid w:val="3F9D61EE"/>
    <w:rsid w:val="3FA667A1"/>
    <w:rsid w:val="3FA915D5"/>
    <w:rsid w:val="3FB92B0C"/>
    <w:rsid w:val="3FBB0422"/>
    <w:rsid w:val="3FD314D0"/>
    <w:rsid w:val="3FD87C0D"/>
    <w:rsid w:val="3FF539A1"/>
    <w:rsid w:val="3FF83425"/>
    <w:rsid w:val="404455B8"/>
    <w:rsid w:val="40531957"/>
    <w:rsid w:val="40694322"/>
    <w:rsid w:val="40771B4A"/>
    <w:rsid w:val="407A6407"/>
    <w:rsid w:val="408903F2"/>
    <w:rsid w:val="40C5433D"/>
    <w:rsid w:val="40C71F4C"/>
    <w:rsid w:val="40C814D7"/>
    <w:rsid w:val="40D20119"/>
    <w:rsid w:val="40DF3730"/>
    <w:rsid w:val="40E873A8"/>
    <w:rsid w:val="40ED382B"/>
    <w:rsid w:val="40EE0D48"/>
    <w:rsid w:val="40F872A9"/>
    <w:rsid w:val="40F903D3"/>
    <w:rsid w:val="412169AB"/>
    <w:rsid w:val="414D59F2"/>
    <w:rsid w:val="416B1261"/>
    <w:rsid w:val="41751BD0"/>
    <w:rsid w:val="418910B5"/>
    <w:rsid w:val="41A606D2"/>
    <w:rsid w:val="41B22DBF"/>
    <w:rsid w:val="41C8447D"/>
    <w:rsid w:val="41CA6E30"/>
    <w:rsid w:val="41D37CA5"/>
    <w:rsid w:val="4200449D"/>
    <w:rsid w:val="420C2C86"/>
    <w:rsid w:val="422A6B5E"/>
    <w:rsid w:val="42354768"/>
    <w:rsid w:val="423A3BCC"/>
    <w:rsid w:val="423C589D"/>
    <w:rsid w:val="424C0218"/>
    <w:rsid w:val="424E57D2"/>
    <w:rsid w:val="42530DE6"/>
    <w:rsid w:val="42537038"/>
    <w:rsid w:val="425970E3"/>
    <w:rsid w:val="427B1CFA"/>
    <w:rsid w:val="428E1783"/>
    <w:rsid w:val="428E1E1E"/>
    <w:rsid w:val="429213AA"/>
    <w:rsid w:val="42935686"/>
    <w:rsid w:val="42980EEF"/>
    <w:rsid w:val="42A359F3"/>
    <w:rsid w:val="42A37D1B"/>
    <w:rsid w:val="42AF1B9E"/>
    <w:rsid w:val="42B26C49"/>
    <w:rsid w:val="42C2447E"/>
    <w:rsid w:val="42C56F23"/>
    <w:rsid w:val="42D31EB4"/>
    <w:rsid w:val="42D91672"/>
    <w:rsid w:val="42DD672F"/>
    <w:rsid w:val="42E41371"/>
    <w:rsid w:val="42E50189"/>
    <w:rsid w:val="42E631BF"/>
    <w:rsid w:val="42EA0F8B"/>
    <w:rsid w:val="42FF054F"/>
    <w:rsid w:val="43221121"/>
    <w:rsid w:val="432B58BF"/>
    <w:rsid w:val="432D08B8"/>
    <w:rsid w:val="432D2FED"/>
    <w:rsid w:val="433A6FE6"/>
    <w:rsid w:val="43480868"/>
    <w:rsid w:val="4350713C"/>
    <w:rsid w:val="436653E0"/>
    <w:rsid w:val="437234EE"/>
    <w:rsid w:val="43813731"/>
    <w:rsid w:val="438300DA"/>
    <w:rsid w:val="43C4431A"/>
    <w:rsid w:val="43CC0E50"/>
    <w:rsid w:val="43D65060"/>
    <w:rsid w:val="43FF72CD"/>
    <w:rsid w:val="440B5E1C"/>
    <w:rsid w:val="441478A9"/>
    <w:rsid w:val="44181AD6"/>
    <w:rsid w:val="442771C9"/>
    <w:rsid w:val="44411F65"/>
    <w:rsid w:val="446A0749"/>
    <w:rsid w:val="446E1F07"/>
    <w:rsid w:val="4487121B"/>
    <w:rsid w:val="44890AEF"/>
    <w:rsid w:val="449D7C7B"/>
    <w:rsid w:val="44AD1910"/>
    <w:rsid w:val="44B951CC"/>
    <w:rsid w:val="44CD14E0"/>
    <w:rsid w:val="44E562FC"/>
    <w:rsid w:val="44E87F0C"/>
    <w:rsid w:val="44EF6C22"/>
    <w:rsid w:val="44F20B0B"/>
    <w:rsid w:val="452E5F4C"/>
    <w:rsid w:val="45592BB7"/>
    <w:rsid w:val="45612018"/>
    <w:rsid w:val="456349FB"/>
    <w:rsid w:val="45741821"/>
    <w:rsid w:val="457F278F"/>
    <w:rsid w:val="458946E9"/>
    <w:rsid w:val="45A047F3"/>
    <w:rsid w:val="45A47C0E"/>
    <w:rsid w:val="45B527C3"/>
    <w:rsid w:val="45D07EEB"/>
    <w:rsid w:val="45EC6FB7"/>
    <w:rsid w:val="45EE3FFB"/>
    <w:rsid w:val="45EE423E"/>
    <w:rsid w:val="46101554"/>
    <w:rsid w:val="462D098F"/>
    <w:rsid w:val="463B0EBF"/>
    <w:rsid w:val="463F7FFF"/>
    <w:rsid w:val="46577FD6"/>
    <w:rsid w:val="467E55C6"/>
    <w:rsid w:val="468B4FF2"/>
    <w:rsid w:val="46A14816"/>
    <w:rsid w:val="46D955A7"/>
    <w:rsid w:val="46E81785"/>
    <w:rsid w:val="46E872B9"/>
    <w:rsid w:val="46F63E43"/>
    <w:rsid w:val="46F81F5C"/>
    <w:rsid w:val="47133957"/>
    <w:rsid w:val="472131DA"/>
    <w:rsid w:val="47460F19"/>
    <w:rsid w:val="474660D3"/>
    <w:rsid w:val="474F48E6"/>
    <w:rsid w:val="4756750A"/>
    <w:rsid w:val="47592D38"/>
    <w:rsid w:val="476B4E24"/>
    <w:rsid w:val="477F1748"/>
    <w:rsid w:val="4796000A"/>
    <w:rsid w:val="47A07E0C"/>
    <w:rsid w:val="47B70E1A"/>
    <w:rsid w:val="47B755C4"/>
    <w:rsid w:val="47C2057E"/>
    <w:rsid w:val="47D5287F"/>
    <w:rsid w:val="480A5C35"/>
    <w:rsid w:val="4813771E"/>
    <w:rsid w:val="481E3C44"/>
    <w:rsid w:val="485767A3"/>
    <w:rsid w:val="4870272E"/>
    <w:rsid w:val="488128A3"/>
    <w:rsid w:val="48852A05"/>
    <w:rsid w:val="48886DE7"/>
    <w:rsid w:val="48986789"/>
    <w:rsid w:val="48E615C6"/>
    <w:rsid w:val="48F03BAE"/>
    <w:rsid w:val="48F7696F"/>
    <w:rsid w:val="49316B2C"/>
    <w:rsid w:val="49412AAE"/>
    <w:rsid w:val="494C1DDA"/>
    <w:rsid w:val="495779F7"/>
    <w:rsid w:val="4965086D"/>
    <w:rsid w:val="49690103"/>
    <w:rsid w:val="4987382F"/>
    <w:rsid w:val="498B5309"/>
    <w:rsid w:val="499454B7"/>
    <w:rsid w:val="499E2681"/>
    <w:rsid w:val="49A0638E"/>
    <w:rsid w:val="49A14B2D"/>
    <w:rsid w:val="49A3576B"/>
    <w:rsid w:val="49AE6DA3"/>
    <w:rsid w:val="49B02FC2"/>
    <w:rsid w:val="49C37A5B"/>
    <w:rsid w:val="49DC7715"/>
    <w:rsid w:val="49DF014D"/>
    <w:rsid w:val="49F93899"/>
    <w:rsid w:val="4A023139"/>
    <w:rsid w:val="4A17094B"/>
    <w:rsid w:val="4A227F17"/>
    <w:rsid w:val="4A3B6D2F"/>
    <w:rsid w:val="4A463ED2"/>
    <w:rsid w:val="4A566A89"/>
    <w:rsid w:val="4A6A3171"/>
    <w:rsid w:val="4A6C513B"/>
    <w:rsid w:val="4A6F2C22"/>
    <w:rsid w:val="4A7B576F"/>
    <w:rsid w:val="4A824A7A"/>
    <w:rsid w:val="4A8A3A47"/>
    <w:rsid w:val="4A9637F5"/>
    <w:rsid w:val="4AB77BE9"/>
    <w:rsid w:val="4AC41647"/>
    <w:rsid w:val="4AEC1846"/>
    <w:rsid w:val="4AF561A9"/>
    <w:rsid w:val="4AFD7712"/>
    <w:rsid w:val="4B013AD5"/>
    <w:rsid w:val="4B462EAD"/>
    <w:rsid w:val="4B4A6575"/>
    <w:rsid w:val="4B5005B9"/>
    <w:rsid w:val="4B600592"/>
    <w:rsid w:val="4B785046"/>
    <w:rsid w:val="4BB253E8"/>
    <w:rsid w:val="4BBC5C4E"/>
    <w:rsid w:val="4BF5567D"/>
    <w:rsid w:val="4C035925"/>
    <w:rsid w:val="4C121A01"/>
    <w:rsid w:val="4C124058"/>
    <w:rsid w:val="4C1930A0"/>
    <w:rsid w:val="4C216974"/>
    <w:rsid w:val="4C2701C8"/>
    <w:rsid w:val="4C357863"/>
    <w:rsid w:val="4C4A0649"/>
    <w:rsid w:val="4C4C6FD2"/>
    <w:rsid w:val="4C4D77DB"/>
    <w:rsid w:val="4C7E5ECA"/>
    <w:rsid w:val="4C876AA5"/>
    <w:rsid w:val="4CA94424"/>
    <w:rsid w:val="4CB422EA"/>
    <w:rsid w:val="4CC72AFC"/>
    <w:rsid w:val="4CCC3C6F"/>
    <w:rsid w:val="4CEE654F"/>
    <w:rsid w:val="4CFE5DF2"/>
    <w:rsid w:val="4D0E00FB"/>
    <w:rsid w:val="4D176606"/>
    <w:rsid w:val="4D24083B"/>
    <w:rsid w:val="4D3C5586"/>
    <w:rsid w:val="4D5435B2"/>
    <w:rsid w:val="4D587981"/>
    <w:rsid w:val="4D61085B"/>
    <w:rsid w:val="4D815E7D"/>
    <w:rsid w:val="4DAF69C7"/>
    <w:rsid w:val="4DDE65AB"/>
    <w:rsid w:val="4DEC4FB0"/>
    <w:rsid w:val="4E075D8A"/>
    <w:rsid w:val="4E111C19"/>
    <w:rsid w:val="4E17716C"/>
    <w:rsid w:val="4E1D056D"/>
    <w:rsid w:val="4E3E4C3D"/>
    <w:rsid w:val="4E3E7B84"/>
    <w:rsid w:val="4E416D0F"/>
    <w:rsid w:val="4E4E3FE9"/>
    <w:rsid w:val="4E5B15E2"/>
    <w:rsid w:val="4E5D4982"/>
    <w:rsid w:val="4E5F508E"/>
    <w:rsid w:val="4E6525CD"/>
    <w:rsid w:val="4E976D94"/>
    <w:rsid w:val="4EA03605"/>
    <w:rsid w:val="4EC00FAD"/>
    <w:rsid w:val="4EC12FD1"/>
    <w:rsid w:val="4EDB63EB"/>
    <w:rsid w:val="4EDF40E4"/>
    <w:rsid w:val="4F0F01FF"/>
    <w:rsid w:val="4F49045E"/>
    <w:rsid w:val="4F5D4CF6"/>
    <w:rsid w:val="4F5D6D6A"/>
    <w:rsid w:val="4F652DEB"/>
    <w:rsid w:val="4F9843DC"/>
    <w:rsid w:val="4FBD254D"/>
    <w:rsid w:val="4FC43323"/>
    <w:rsid w:val="4FC62A8C"/>
    <w:rsid w:val="4FCA0D1A"/>
    <w:rsid w:val="4FD01CC8"/>
    <w:rsid w:val="4FE15140"/>
    <w:rsid w:val="4FE20F0D"/>
    <w:rsid w:val="4FE51552"/>
    <w:rsid w:val="4FE71560"/>
    <w:rsid w:val="4FED4628"/>
    <w:rsid w:val="4FEE214E"/>
    <w:rsid w:val="50037CBF"/>
    <w:rsid w:val="50056641"/>
    <w:rsid w:val="5006011A"/>
    <w:rsid w:val="50140A42"/>
    <w:rsid w:val="5019366F"/>
    <w:rsid w:val="5021649F"/>
    <w:rsid w:val="503201EC"/>
    <w:rsid w:val="50414974"/>
    <w:rsid w:val="504B7133"/>
    <w:rsid w:val="50504C4B"/>
    <w:rsid w:val="5061031C"/>
    <w:rsid w:val="506764D7"/>
    <w:rsid w:val="507344ED"/>
    <w:rsid w:val="509C6E7C"/>
    <w:rsid w:val="50B0449F"/>
    <w:rsid w:val="50B5480F"/>
    <w:rsid w:val="50C57353"/>
    <w:rsid w:val="51027BCB"/>
    <w:rsid w:val="512D4712"/>
    <w:rsid w:val="51553D69"/>
    <w:rsid w:val="516052CE"/>
    <w:rsid w:val="5162104E"/>
    <w:rsid w:val="51644DBE"/>
    <w:rsid w:val="51694182"/>
    <w:rsid w:val="51782617"/>
    <w:rsid w:val="51806886"/>
    <w:rsid w:val="51AE6C90"/>
    <w:rsid w:val="51CF056A"/>
    <w:rsid w:val="51EF61FF"/>
    <w:rsid w:val="51F24178"/>
    <w:rsid w:val="52157FD7"/>
    <w:rsid w:val="523A7F3A"/>
    <w:rsid w:val="525F4F49"/>
    <w:rsid w:val="526606C2"/>
    <w:rsid w:val="5272084F"/>
    <w:rsid w:val="52732029"/>
    <w:rsid w:val="528A2F29"/>
    <w:rsid w:val="52D648AA"/>
    <w:rsid w:val="52F24653"/>
    <w:rsid w:val="52FB554D"/>
    <w:rsid w:val="53056732"/>
    <w:rsid w:val="53242298"/>
    <w:rsid w:val="534704F3"/>
    <w:rsid w:val="53497FBD"/>
    <w:rsid w:val="534B1DEA"/>
    <w:rsid w:val="5362643E"/>
    <w:rsid w:val="538A04EC"/>
    <w:rsid w:val="538A06A8"/>
    <w:rsid w:val="53A039CC"/>
    <w:rsid w:val="53A1505A"/>
    <w:rsid w:val="53BE479C"/>
    <w:rsid w:val="53CC6C4A"/>
    <w:rsid w:val="53E134FD"/>
    <w:rsid w:val="53E51A0A"/>
    <w:rsid w:val="53E540AF"/>
    <w:rsid w:val="53E76DB8"/>
    <w:rsid w:val="54063E08"/>
    <w:rsid w:val="540D48A4"/>
    <w:rsid w:val="542B0A97"/>
    <w:rsid w:val="54325685"/>
    <w:rsid w:val="543437E8"/>
    <w:rsid w:val="544D0647"/>
    <w:rsid w:val="546C3D9F"/>
    <w:rsid w:val="54770964"/>
    <w:rsid w:val="549B2607"/>
    <w:rsid w:val="54A15A76"/>
    <w:rsid w:val="54A72BCC"/>
    <w:rsid w:val="54A9439E"/>
    <w:rsid w:val="54AE4379"/>
    <w:rsid w:val="54C627DB"/>
    <w:rsid w:val="54EB29E7"/>
    <w:rsid w:val="54F73313"/>
    <w:rsid w:val="54F80955"/>
    <w:rsid w:val="54F951CD"/>
    <w:rsid w:val="54FC3A06"/>
    <w:rsid w:val="550014AB"/>
    <w:rsid w:val="55067F3A"/>
    <w:rsid w:val="551345E4"/>
    <w:rsid w:val="55172147"/>
    <w:rsid w:val="552836BF"/>
    <w:rsid w:val="552A69D9"/>
    <w:rsid w:val="552C647E"/>
    <w:rsid w:val="553C1136"/>
    <w:rsid w:val="55470643"/>
    <w:rsid w:val="554A342C"/>
    <w:rsid w:val="555170A7"/>
    <w:rsid w:val="5587536D"/>
    <w:rsid w:val="559B174B"/>
    <w:rsid w:val="55A47859"/>
    <w:rsid w:val="55AD4C9B"/>
    <w:rsid w:val="55B34C82"/>
    <w:rsid w:val="55CE0CF4"/>
    <w:rsid w:val="55D204B4"/>
    <w:rsid w:val="55EA33B8"/>
    <w:rsid w:val="55FD4BB9"/>
    <w:rsid w:val="56127EDE"/>
    <w:rsid w:val="56282CA5"/>
    <w:rsid w:val="56340E1F"/>
    <w:rsid w:val="564064E3"/>
    <w:rsid w:val="564E6FDB"/>
    <w:rsid w:val="565A22EB"/>
    <w:rsid w:val="565D3C77"/>
    <w:rsid w:val="56676F3E"/>
    <w:rsid w:val="5669447F"/>
    <w:rsid w:val="56701B0F"/>
    <w:rsid w:val="56803350"/>
    <w:rsid w:val="568D0913"/>
    <w:rsid w:val="569020E6"/>
    <w:rsid w:val="56B16351"/>
    <w:rsid w:val="56B22A9C"/>
    <w:rsid w:val="56B66FFC"/>
    <w:rsid w:val="56C4102D"/>
    <w:rsid w:val="56CD6F61"/>
    <w:rsid w:val="56D10874"/>
    <w:rsid w:val="56D71B8E"/>
    <w:rsid w:val="56DB1486"/>
    <w:rsid w:val="56F80041"/>
    <w:rsid w:val="56FD7687"/>
    <w:rsid w:val="572100B5"/>
    <w:rsid w:val="57234DD3"/>
    <w:rsid w:val="57411985"/>
    <w:rsid w:val="574447F3"/>
    <w:rsid w:val="57484341"/>
    <w:rsid w:val="574D5E77"/>
    <w:rsid w:val="575D6F09"/>
    <w:rsid w:val="57601B83"/>
    <w:rsid w:val="5796670D"/>
    <w:rsid w:val="579830BB"/>
    <w:rsid w:val="57A642DC"/>
    <w:rsid w:val="57B72A76"/>
    <w:rsid w:val="57B8376D"/>
    <w:rsid w:val="57C3426C"/>
    <w:rsid w:val="57CE1F93"/>
    <w:rsid w:val="57E0578A"/>
    <w:rsid w:val="57EE3E29"/>
    <w:rsid w:val="57FE25A3"/>
    <w:rsid w:val="580C0E10"/>
    <w:rsid w:val="584E1E12"/>
    <w:rsid w:val="584F2FA0"/>
    <w:rsid w:val="58574381"/>
    <w:rsid w:val="58675FD8"/>
    <w:rsid w:val="587676F4"/>
    <w:rsid w:val="587A321E"/>
    <w:rsid w:val="5881342C"/>
    <w:rsid w:val="58831FCD"/>
    <w:rsid w:val="588743D1"/>
    <w:rsid w:val="5887701A"/>
    <w:rsid w:val="588D226A"/>
    <w:rsid w:val="5894563A"/>
    <w:rsid w:val="589A0216"/>
    <w:rsid w:val="589A4377"/>
    <w:rsid w:val="58A56605"/>
    <w:rsid w:val="58BD64F7"/>
    <w:rsid w:val="58BF0B2C"/>
    <w:rsid w:val="58C16652"/>
    <w:rsid w:val="58C6010C"/>
    <w:rsid w:val="593114BD"/>
    <w:rsid w:val="594E3B13"/>
    <w:rsid w:val="595377F5"/>
    <w:rsid w:val="595709F6"/>
    <w:rsid w:val="595E67F6"/>
    <w:rsid w:val="59913AFB"/>
    <w:rsid w:val="599E4BE5"/>
    <w:rsid w:val="59AC1C99"/>
    <w:rsid w:val="59AD67EB"/>
    <w:rsid w:val="59B85CA7"/>
    <w:rsid w:val="59C0439F"/>
    <w:rsid w:val="5A0A4028"/>
    <w:rsid w:val="5A386DE8"/>
    <w:rsid w:val="5A3E5035"/>
    <w:rsid w:val="5A4A1F38"/>
    <w:rsid w:val="5A4B6B1B"/>
    <w:rsid w:val="5A6B7DC0"/>
    <w:rsid w:val="5A7B15A6"/>
    <w:rsid w:val="5A8B4321"/>
    <w:rsid w:val="5AB75F5E"/>
    <w:rsid w:val="5ABC77A3"/>
    <w:rsid w:val="5ABE2233"/>
    <w:rsid w:val="5ACD70A1"/>
    <w:rsid w:val="5AEB38B4"/>
    <w:rsid w:val="5B097A2F"/>
    <w:rsid w:val="5B0F2246"/>
    <w:rsid w:val="5B0F4F89"/>
    <w:rsid w:val="5B28155D"/>
    <w:rsid w:val="5B3E5C09"/>
    <w:rsid w:val="5B642C1A"/>
    <w:rsid w:val="5B6F6839"/>
    <w:rsid w:val="5B7C339D"/>
    <w:rsid w:val="5B7F45A2"/>
    <w:rsid w:val="5BC96B61"/>
    <w:rsid w:val="5BDF5D95"/>
    <w:rsid w:val="5BE1267A"/>
    <w:rsid w:val="5BF50F77"/>
    <w:rsid w:val="5BFE7528"/>
    <w:rsid w:val="5C10335F"/>
    <w:rsid w:val="5C5F7930"/>
    <w:rsid w:val="5CAF3D72"/>
    <w:rsid w:val="5CB309A7"/>
    <w:rsid w:val="5CC44740"/>
    <w:rsid w:val="5CCB7A9F"/>
    <w:rsid w:val="5CD32DF8"/>
    <w:rsid w:val="5CDA63B3"/>
    <w:rsid w:val="5CFB70FB"/>
    <w:rsid w:val="5D0869AB"/>
    <w:rsid w:val="5D186745"/>
    <w:rsid w:val="5D3C7F56"/>
    <w:rsid w:val="5D9407D9"/>
    <w:rsid w:val="5DA21E2E"/>
    <w:rsid w:val="5DB4672A"/>
    <w:rsid w:val="5DC23523"/>
    <w:rsid w:val="5DDE2BCC"/>
    <w:rsid w:val="5DE701AD"/>
    <w:rsid w:val="5DED4AA5"/>
    <w:rsid w:val="5E006807"/>
    <w:rsid w:val="5E0A2849"/>
    <w:rsid w:val="5E2467F1"/>
    <w:rsid w:val="5E2558D5"/>
    <w:rsid w:val="5E3B790F"/>
    <w:rsid w:val="5E562187"/>
    <w:rsid w:val="5E646FD0"/>
    <w:rsid w:val="5E8709DA"/>
    <w:rsid w:val="5E930A90"/>
    <w:rsid w:val="5E9E0FE8"/>
    <w:rsid w:val="5EBC3BB2"/>
    <w:rsid w:val="5ECC46CF"/>
    <w:rsid w:val="5F1804F9"/>
    <w:rsid w:val="5F1A2B43"/>
    <w:rsid w:val="5F1B45DF"/>
    <w:rsid w:val="5F327371"/>
    <w:rsid w:val="5F523C4F"/>
    <w:rsid w:val="5F6534CE"/>
    <w:rsid w:val="5F7C1524"/>
    <w:rsid w:val="5F8F7DBC"/>
    <w:rsid w:val="5FAE702A"/>
    <w:rsid w:val="5FB15AF3"/>
    <w:rsid w:val="5FB837BB"/>
    <w:rsid w:val="5FC409D1"/>
    <w:rsid w:val="5FCB2EE0"/>
    <w:rsid w:val="5FD83B58"/>
    <w:rsid w:val="5FEB2206"/>
    <w:rsid w:val="5FEF1D21"/>
    <w:rsid w:val="5FF71DBB"/>
    <w:rsid w:val="5FFA069B"/>
    <w:rsid w:val="5FFB5117"/>
    <w:rsid w:val="60001A61"/>
    <w:rsid w:val="60043E7F"/>
    <w:rsid w:val="600E119D"/>
    <w:rsid w:val="601242D9"/>
    <w:rsid w:val="60156DFC"/>
    <w:rsid w:val="601B6757"/>
    <w:rsid w:val="602F59CF"/>
    <w:rsid w:val="60354FDB"/>
    <w:rsid w:val="603711B4"/>
    <w:rsid w:val="606F4BE5"/>
    <w:rsid w:val="60C42578"/>
    <w:rsid w:val="60CC405A"/>
    <w:rsid w:val="60D40EEC"/>
    <w:rsid w:val="60FB3D84"/>
    <w:rsid w:val="61440AE5"/>
    <w:rsid w:val="615838CB"/>
    <w:rsid w:val="617D3332"/>
    <w:rsid w:val="61870602"/>
    <w:rsid w:val="6192502F"/>
    <w:rsid w:val="619568CD"/>
    <w:rsid w:val="61A134C4"/>
    <w:rsid w:val="61C40E25"/>
    <w:rsid w:val="61C85CBC"/>
    <w:rsid w:val="61D05B58"/>
    <w:rsid w:val="61E215D8"/>
    <w:rsid w:val="61E672D0"/>
    <w:rsid w:val="61EC033F"/>
    <w:rsid w:val="61ED4D3E"/>
    <w:rsid w:val="61ED7543"/>
    <w:rsid w:val="61F96E5C"/>
    <w:rsid w:val="6208709F"/>
    <w:rsid w:val="621B3775"/>
    <w:rsid w:val="622E0D81"/>
    <w:rsid w:val="62364782"/>
    <w:rsid w:val="62587FA1"/>
    <w:rsid w:val="628C3A9E"/>
    <w:rsid w:val="628F3B45"/>
    <w:rsid w:val="629B1027"/>
    <w:rsid w:val="62C63CF3"/>
    <w:rsid w:val="62CD28A7"/>
    <w:rsid w:val="62EE2F77"/>
    <w:rsid w:val="62EE7C3D"/>
    <w:rsid w:val="62F84840"/>
    <w:rsid w:val="62FB5113"/>
    <w:rsid w:val="63165BB4"/>
    <w:rsid w:val="631D301E"/>
    <w:rsid w:val="63266631"/>
    <w:rsid w:val="632D7990"/>
    <w:rsid w:val="634A401C"/>
    <w:rsid w:val="635C0964"/>
    <w:rsid w:val="635D05E9"/>
    <w:rsid w:val="637013A0"/>
    <w:rsid w:val="637C00C3"/>
    <w:rsid w:val="6388493C"/>
    <w:rsid w:val="6394356A"/>
    <w:rsid w:val="639B5DAA"/>
    <w:rsid w:val="63AA61CA"/>
    <w:rsid w:val="63C61B2C"/>
    <w:rsid w:val="63D40BE9"/>
    <w:rsid w:val="63F7386F"/>
    <w:rsid w:val="64102431"/>
    <w:rsid w:val="6415662B"/>
    <w:rsid w:val="64156F36"/>
    <w:rsid w:val="643915E8"/>
    <w:rsid w:val="644D7933"/>
    <w:rsid w:val="647E7AED"/>
    <w:rsid w:val="64904349"/>
    <w:rsid w:val="64A03EB1"/>
    <w:rsid w:val="64A5243A"/>
    <w:rsid w:val="64A564CA"/>
    <w:rsid w:val="64C46584"/>
    <w:rsid w:val="64E50E08"/>
    <w:rsid w:val="64EA3882"/>
    <w:rsid w:val="64F531DE"/>
    <w:rsid w:val="65010EB1"/>
    <w:rsid w:val="65047169"/>
    <w:rsid w:val="65373578"/>
    <w:rsid w:val="653814C2"/>
    <w:rsid w:val="65477B39"/>
    <w:rsid w:val="654963FD"/>
    <w:rsid w:val="65510D5D"/>
    <w:rsid w:val="65660CAD"/>
    <w:rsid w:val="657B6EE6"/>
    <w:rsid w:val="657C7D13"/>
    <w:rsid w:val="658263F0"/>
    <w:rsid w:val="65BD536A"/>
    <w:rsid w:val="65C5250B"/>
    <w:rsid w:val="65E12554"/>
    <w:rsid w:val="65ED6210"/>
    <w:rsid w:val="65ED732E"/>
    <w:rsid w:val="65F66AC0"/>
    <w:rsid w:val="66042274"/>
    <w:rsid w:val="661C580F"/>
    <w:rsid w:val="6624668D"/>
    <w:rsid w:val="66291C85"/>
    <w:rsid w:val="663A059D"/>
    <w:rsid w:val="665714F9"/>
    <w:rsid w:val="666426BD"/>
    <w:rsid w:val="6665785F"/>
    <w:rsid w:val="66B23249"/>
    <w:rsid w:val="66BF65CC"/>
    <w:rsid w:val="66C33EDD"/>
    <w:rsid w:val="66C8029F"/>
    <w:rsid w:val="66CB796F"/>
    <w:rsid w:val="66DC7A69"/>
    <w:rsid w:val="66E8749F"/>
    <w:rsid w:val="66FA3C02"/>
    <w:rsid w:val="671F124A"/>
    <w:rsid w:val="67237C83"/>
    <w:rsid w:val="67401089"/>
    <w:rsid w:val="676F3313"/>
    <w:rsid w:val="677328F5"/>
    <w:rsid w:val="677A33C6"/>
    <w:rsid w:val="677F6056"/>
    <w:rsid w:val="67803E2B"/>
    <w:rsid w:val="67CE0D8B"/>
    <w:rsid w:val="67D272DD"/>
    <w:rsid w:val="67DF722C"/>
    <w:rsid w:val="67E4487A"/>
    <w:rsid w:val="681F6961"/>
    <w:rsid w:val="682E5386"/>
    <w:rsid w:val="68403510"/>
    <w:rsid w:val="685B03A4"/>
    <w:rsid w:val="68610A2F"/>
    <w:rsid w:val="68732B03"/>
    <w:rsid w:val="687731D1"/>
    <w:rsid w:val="687E0E08"/>
    <w:rsid w:val="68805514"/>
    <w:rsid w:val="688B4586"/>
    <w:rsid w:val="689D33CA"/>
    <w:rsid w:val="68AA5354"/>
    <w:rsid w:val="68D11D4D"/>
    <w:rsid w:val="68DE2553"/>
    <w:rsid w:val="68F7426D"/>
    <w:rsid w:val="69265F8F"/>
    <w:rsid w:val="69316E2F"/>
    <w:rsid w:val="694E2071"/>
    <w:rsid w:val="695D049F"/>
    <w:rsid w:val="695D2E61"/>
    <w:rsid w:val="695F03E3"/>
    <w:rsid w:val="6976529E"/>
    <w:rsid w:val="69766163"/>
    <w:rsid w:val="697A3B33"/>
    <w:rsid w:val="69C75B1C"/>
    <w:rsid w:val="69C81069"/>
    <w:rsid w:val="69CB22CB"/>
    <w:rsid w:val="69D44760"/>
    <w:rsid w:val="69D61D08"/>
    <w:rsid w:val="69EA352F"/>
    <w:rsid w:val="69F148BD"/>
    <w:rsid w:val="6A3253CB"/>
    <w:rsid w:val="6A365779"/>
    <w:rsid w:val="6A394575"/>
    <w:rsid w:val="6A4168F5"/>
    <w:rsid w:val="6A520EC7"/>
    <w:rsid w:val="6A5D4642"/>
    <w:rsid w:val="6A9E6C19"/>
    <w:rsid w:val="6A9F07BD"/>
    <w:rsid w:val="6AB44268"/>
    <w:rsid w:val="6AB538C7"/>
    <w:rsid w:val="6AB942FB"/>
    <w:rsid w:val="6ABE5CA8"/>
    <w:rsid w:val="6AC26EEA"/>
    <w:rsid w:val="6AEB65F5"/>
    <w:rsid w:val="6AF87E20"/>
    <w:rsid w:val="6AFE1987"/>
    <w:rsid w:val="6B0B2914"/>
    <w:rsid w:val="6B105217"/>
    <w:rsid w:val="6B2037BE"/>
    <w:rsid w:val="6B322639"/>
    <w:rsid w:val="6B370FDE"/>
    <w:rsid w:val="6B421874"/>
    <w:rsid w:val="6B446DAC"/>
    <w:rsid w:val="6B4A059F"/>
    <w:rsid w:val="6B557611"/>
    <w:rsid w:val="6B5826D1"/>
    <w:rsid w:val="6B593626"/>
    <w:rsid w:val="6B736EEE"/>
    <w:rsid w:val="6B775BFA"/>
    <w:rsid w:val="6B8E030F"/>
    <w:rsid w:val="6BF47398"/>
    <w:rsid w:val="6BFE7948"/>
    <w:rsid w:val="6C0015B8"/>
    <w:rsid w:val="6C376EFF"/>
    <w:rsid w:val="6C506E64"/>
    <w:rsid w:val="6C561005"/>
    <w:rsid w:val="6C636C38"/>
    <w:rsid w:val="6C64361A"/>
    <w:rsid w:val="6C670B81"/>
    <w:rsid w:val="6C6765F4"/>
    <w:rsid w:val="6C6E41C8"/>
    <w:rsid w:val="6C983716"/>
    <w:rsid w:val="6C9C7102"/>
    <w:rsid w:val="6CA64886"/>
    <w:rsid w:val="6CB5251A"/>
    <w:rsid w:val="6CD93C29"/>
    <w:rsid w:val="6CFE4664"/>
    <w:rsid w:val="6D027F1B"/>
    <w:rsid w:val="6D0464C0"/>
    <w:rsid w:val="6D056073"/>
    <w:rsid w:val="6D164864"/>
    <w:rsid w:val="6D1B4778"/>
    <w:rsid w:val="6D242106"/>
    <w:rsid w:val="6D5C4C92"/>
    <w:rsid w:val="6D642C3B"/>
    <w:rsid w:val="6D7D18C2"/>
    <w:rsid w:val="6D8332DD"/>
    <w:rsid w:val="6DAD0311"/>
    <w:rsid w:val="6DB34098"/>
    <w:rsid w:val="6DB545B6"/>
    <w:rsid w:val="6DDE5F54"/>
    <w:rsid w:val="6DE02FB4"/>
    <w:rsid w:val="6DE035C6"/>
    <w:rsid w:val="6DEC3D19"/>
    <w:rsid w:val="6DFF75FB"/>
    <w:rsid w:val="6E0F17B6"/>
    <w:rsid w:val="6E121FBA"/>
    <w:rsid w:val="6E2434B3"/>
    <w:rsid w:val="6E514CED"/>
    <w:rsid w:val="6E715748"/>
    <w:rsid w:val="6E8E1355"/>
    <w:rsid w:val="6EA851ED"/>
    <w:rsid w:val="6EB563D5"/>
    <w:rsid w:val="6ED123F6"/>
    <w:rsid w:val="6ED92677"/>
    <w:rsid w:val="6EF77316"/>
    <w:rsid w:val="6F0911A6"/>
    <w:rsid w:val="6F2249A2"/>
    <w:rsid w:val="6F225983"/>
    <w:rsid w:val="6F2A2D4B"/>
    <w:rsid w:val="6F2E3E0A"/>
    <w:rsid w:val="6F4B3C83"/>
    <w:rsid w:val="6F506FA1"/>
    <w:rsid w:val="6F6C3363"/>
    <w:rsid w:val="6F8A3237"/>
    <w:rsid w:val="6F8A37EA"/>
    <w:rsid w:val="6FA721D6"/>
    <w:rsid w:val="6FAB39B1"/>
    <w:rsid w:val="6FB1521A"/>
    <w:rsid w:val="6FC36C48"/>
    <w:rsid w:val="6FC765C9"/>
    <w:rsid w:val="6FEF46E5"/>
    <w:rsid w:val="6FFC5590"/>
    <w:rsid w:val="6FFE3530"/>
    <w:rsid w:val="701E43FE"/>
    <w:rsid w:val="70280A53"/>
    <w:rsid w:val="70334951"/>
    <w:rsid w:val="705A0651"/>
    <w:rsid w:val="706D1DD0"/>
    <w:rsid w:val="70856B87"/>
    <w:rsid w:val="708C1DF4"/>
    <w:rsid w:val="709C6FFD"/>
    <w:rsid w:val="709D1212"/>
    <w:rsid w:val="70A34D64"/>
    <w:rsid w:val="70B00196"/>
    <w:rsid w:val="70BB3D49"/>
    <w:rsid w:val="70CD5C84"/>
    <w:rsid w:val="70D07E82"/>
    <w:rsid w:val="70D527EE"/>
    <w:rsid w:val="70E003DD"/>
    <w:rsid w:val="710413C6"/>
    <w:rsid w:val="71194D77"/>
    <w:rsid w:val="711F7F62"/>
    <w:rsid w:val="714A2A0F"/>
    <w:rsid w:val="715B5300"/>
    <w:rsid w:val="71612D83"/>
    <w:rsid w:val="716B7ACE"/>
    <w:rsid w:val="718F158B"/>
    <w:rsid w:val="71C26CCD"/>
    <w:rsid w:val="71CA575D"/>
    <w:rsid w:val="71D27892"/>
    <w:rsid w:val="71D27F8A"/>
    <w:rsid w:val="71D61496"/>
    <w:rsid w:val="722426FB"/>
    <w:rsid w:val="7240162F"/>
    <w:rsid w:val="724A6301"/>
    <w:rsid w:val="724A7260"/>
    <w:rsid w:val="725105EF"/>
    <w:rsid w:val="725325B9"/>
    <w:rsid w:val="72553024"/>
    <w:rsid w:val="72AA13AB"/>
    <w:rsid w:val="72AA7C53"/>
    <w:rsid w:val="72AC1CC9"/>
    <w:rsid w:val="72E34943"/>
    <w:rsid w:val="73122968"/>
    <w:rsid w:val="731F5D5E"/>
    <w:rsid w:val="73212BB1"/>
    <w:rsid w:val="732E3316"/>
    <w:rsid w:val="7330511B"/>
    <w:rsid w:val="73601D90"/>
    <w:rsid w:val="737F5A99"/>
    <w:rsid w:val="7386251A"/>
    <w:rsid w:val="738A2EF6"/>
    <w:rsid w:val="738B5376"/>
    <w:rsid w:val="73C51AD5"/>
    <w:rsid w:val="73CE0682"/>
    <w:rsid w:val="73D410DF"/>
    <w:rsid w:val="73D76698"/>
    <w:rsid w:val="73D90F2E"/>
    <w:rsid w:val="73E800A1"/>
    <w:rsid w:val="73E8779A"/>
    <w:rsid w:val="741E793C"/>
    <w:rsid w:val="742E59AC"/>
    <w:rsid w:val="74312486"/>
    <w:rsid w:val="74407F2A"/>
    <w:rsid w:val="744B14B2"/>
    <w:rsid w:val="7457144B"/>
    <w:rsid w:val="745E3944"/>
    <w:rsid w:val="74623EF6"/>
    <w:rsid w:val="747E4D39"/>
    <w:rsid w:val="7485094A"/>
    <w:rsid w:val="749A38A6"/>
    <w:rsid w:val="749B3DDB"/>
    <w:rsid w:val="74AA1E8D"/>
    <w:rsid w:val="74BD7DF0"/>
    <w:rsid w:val="74C1307D"/>
    <w:rsid w:val="750620B7"/>
    <w:rsid w:val="751969CB"/>
    <w:rsid w:val="752B093A"/>
    <w:rsid w:val="7545748A"/>
    <w:rsid w:val="75561A9A"/>
    <w:rsid w:val="757765BE"/>
    <w:rsid w:val="75BF724F"/>
    <w:rsid w:val="75C224EA"/>
    <w:rsid w:val="75CD609C"/>
    <w:rsid w:val="75E13F77"/>
    <w:rsid w:val="75E142DD"/>
    <w:rsid w:val="75E56E03"/>
    <w:rsid w:val="76171BA2"/>
    <w:rsid w:val="761B4776"/>
    <w:rsid w:val="761F0029"/>
    <w:rsid w:val="7635099D"/>
    <w:rsid w:val="76876CD5"/>
    <w:rsid w:val="76AC673B"/>
    <w:rsid w:val="76D07E4B"/>
    <w:rsid w:val="76DA5057"/>
    <w:rsid w:val="76F8372F"/>
    <w:rsid w:val="771B6ECB"/>
    <w:rsid w:val="771D2A91"/>
    <w:rsid w:val="772B6B59"/>
    <w:rsid w:val="772E7150"/>
    <w:rsid w:val="77422C1F"/>
    <w:rsid w:val="774626EC"/>
    <w:rsid w:val="77560455"/>
    <w:rsid w:val="775C443F"/>
    <w:rsid w:val="775E03AB"/>
    <w:rsid w:val="77762421"/>
    <w:rsid w:val="7786611A"/>
    <w:rsid w:val="77A33056"/>
    <w:rsid w:val="77B56B1F"/>
    <w:rsid w:val="77BB092B"/>
    <w:rsid w:val="77CA6784"/>
    <w:rsid w:val="77D73344"/>
    <w:rsid w:val="77F24622"/>
    <w:rsid w:val="78080814"/>
    <w:rsid w:val="780879A1"/>
    <w:rsid w:val="780D320A"/>
    <w:rsid w:val="780F09F4"/>
    <w:rsid w:val="78325812"/>
    <w:rsid w:val="78364837"/>
    <w:rsid w:val="78385626"/>
    <w:rsid w:val="783B6E3B"/>
    <w:rsid w:val="7848280D"/>
    <w:rsid w:val="78542DFD"/>
    <w:rsid w:val="785D300F"/>
    <w:rsid w:val="787E7C64"/>
    <w:rsid w:val="78927330"/>
    <w:rsid w:val="78986B50"/>
    <w:rsid w:val="78A90480"/>
    <w:rsid w:val="78C825DD"/>
    <w:rsid w:val="78D51D24"/>
    <w:rsid w:val="78EE4372"/>
    <w:rsid w:val="79065A72"/>
    <w:rsid w:val="79160454"/>
    <w:rsid w:val="792F0F5E"/>
    <w:rsid w:val="7939354E"/>
    <w:rsid w:val="797777F3"/>
    <w:rsid w:val="798B088A"/>
    <w:rsid w:val="79CC6986"/>
    <w:rsid w:val="79CE2225"/>
    <w:rsid w:val="79DF0D7A"/>
    <w:rsid w:val="79E65AC0"/>
    <w:rsid w:val="79E85CDC"/>
    <w:rsid w:val="79ED7EF9"/>
    <w:rsid w:val="79F64450"/>
    <w:rsid w:val="7A03685D"/>
    <w:rsid w:val="7A132EAD"/>
    <w:rsid w:val="7A18249D"/>
    <w:rsid w:val="7A364017"/>
    <w:rsid w:val="7A3E00FB"/>
    <w:rsid w:val="7A5F362F"/>
    <w:rsid w:val="7A781626"/>
    <w:rsid w:val="7A7E52AE"/>
    <w:rsid w:val="7A8265E1"/>
    <w:rsid w:val="7A8A28F0"/>
    <w:rsid w:val="7AA4179C"/>
    <w:rsid w:val="7AC53928"/>
    <w:rsid w:val="7AD84E8F"/>
    <w:rsid w:val="7ADA60F7"/>
    <w:rsid w:val="7AE533A0"/>
    <w:rsid w:val="7AFA34D6"/>
    <w:rsid w:val="7AFB2F8D"/>
    <w:rsid w:val="7B034450"/>
    <w:rsid w:val="7B267B3F"/>
    <w:rsid w:val="7B5023AB"/>
    <w:rsid w:val="7B520CB9"/>
    <w:rsid w:val="7B686D42"/>
    <w:rsid w:val="7B841746"/>
    <w:rsid w:val="7B9A4DB4"/>
    <w:rsid w:val="7BAA6108"/>
    <w:rsid w:val="7BC10C4E"/>
    <w:rsid w:val="7BC82F05"/>
    <w:rsid w:val="7BDF5A57"/>
    <w:rsid w:val="7BFE6DB9"/>
    <w:rsid w:val="7C223EFD"/>
    <w:rsid w:val="7C480CB4"/>
    <w:rsid w:val="7C510EFD"/>
    <w:rsid w:val="7C555DE3"/>
    <w:rsid w:val="7C5A19B8"/>
    <w:rsid w:val="7C5C02BC"/>
    <w:rsid w:val="7C694787"/>
    <w:rsid w:val="7C6C5AC7"/>
    <w:rsid w:val="7C84498C"/>
    <w:rsid w:val="7CAB299F"/>
    <w:rsid w:val="7CAF6246"/>
    <w:rsid w:val="7CC272E3"/>
    <w:rsid w:val="7CC6544B"/>
    <w:rsid w:val="7CC96752"/>
    <w:rsid w:val="7CD12A78"/>
    <w:rsid w:val="7CD9227E"/>
    <w:rsid w:val="7CE502B1"/>
    <w:rsid w:val="7CE5552B"/>
    <w:rsid w:val="7CF8114B"/>
    <w:rsid w:val="7D0239FF"/>
    <w:rsid w:val="7D405E05"/>
    <w:rsid w:val="7D5E40CD"/>
    <w:rsid w:val="7D831878"/>
    <w:rsid w:val="7D944FDD"/>
    <w:rsid w:val="7DB732B9"/>
    <w:rsid w:val="7DC022D8"/>
    <w:rsid w:val="7DC223A1"/>
    <w:rsid w:val="7DCD3947"/>
    <w:rsid w:val="7DCD56F2"/>
    <w:rsid w:val="7E0806FB"/>
    <w:rsid w:val="7E250782"/>
    <w:rsid w:val="7E2A4D43"/>
    <w:rsid w:val="7E374B3D"/>
    <w:rsid w:val="7E4B1FC6"/>
    <w:rsid w:val="7E7B73BA"/>
    <w:rsid w:val="7E7F11B5"/>
    <w:rsid w:val="7EA1732E"/>
    <w:rsid w:val="7EB77A2B"/>
    <w:rsid w:val="7F001CE7"/>
    <w:rsid w:val="7F016A05"/>
    <w:rsid w:val="7F0F1923"/>
    <w:rsid w:val="7F17671C"/>
    <w:rsid w:val="7F1B7FBA"/>
    <w:rsid w:val="7F452CDB"/>
    <w:rsid w:val="7F5776D4"/>
    <w:rsid w:val="7F605312"/>
    <w:rsid w:val="7F714AA4"/>
    <w:rsid w:val="7F7872D3"/>
    <w:rsid w:val="7F852E05"/>
    <w:rsid w:val="7F9B4879"/>
    <w:rsid w:val="7FB126CD"/>
    <w:rsid w:val="7FCE327F"/>
    <w:rsid w:val="7FE449C9"/>
    <w:rsid w:val="7FE47E50"/>
    <w:rsid w:val="7FFB45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semiHidden="0" w:name="heading 3" w:locked="1"/>
    <w:lsdException w:qFormat="1" w:unhideWhenUsed="0" w:uiPriority="9" w:semiHidden="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ocked="1"/>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ocked="1"/>
    <w:lsdException w:qFormat="1" w:uiPriority="0" w:name="caption"/>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semiHidden="0" w:name="annotation reference"/>
    <w:lsdException w:unhideWhenUsed="0" w:uiPriority="0" w:semiHidden="0" w:name="line number" w:locked="1"/>
    <w:lsdException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iPriority="1" w:semiHidden="0" w:name="Body Text"/>
    <w:lsdException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unhideWhenUsed="0" w:uiPriority="0" w:semiHidden="0" w:name="Body Text First Indent"/>
    <w:lsdException w:unhideWhenUsed="0" w:uiPriority="0" w:semiHidden="0" w:name="Body Text First Indent 2" w:locked="1"/>
    <w:lsdException w:qFormat="1" w:unhideWhenUsed="0" w:uiPriority="99" w:semiHidden="0" w:name="Note Heading"/>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sdException w:unhideWhenUsed="0" w:uiPriority="0" w:semiHidden="0" w:name="E-mail Signature" w:locked="1"/>
    <w:lsdException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unhideWhenUsed="0" w:uiPriority="0" w:semiHidden="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4"/>
    <w:qFormat/>
    <w:locked/>
    <w:uiPriority w:val="99"/>
    <w:pPr>
      <w:keepNext/>
      <w:numPr>
        <w:ilvl w:val="0"/>
        <w:numId w:val="1"/>
      </w:numPr>
      <w:overflowPunct w:val="0"/>
      <w:snapToGrid w:val="0"/>
      <w:spacing w:before="120" w:after="160" w:line="260" w:lineRule="auto"/>
      <w:jc w:val="center"/>
      <w:outlineLvl w:val="0"/>
    </w:pPr>
    <w:rPr>
      <w:rFonts w:eastAsia="黑体"/>
      <w:bCs/>
      <w:color w:val="000000"/>
      <w:kern w:val="44"/>
      <w:sz w:val="30"/>
      <w:szCs w:val="30"/>
    </w:rPr>
  </w:style>
  <w:style w:type="paragraph" w:styleId="2">
    <w:name w:val="heading 2"/>
    <w:basedOn w:val="1"/>
    <w:next w:val="1"/>
    <w:link w:val="23"/>
    <w:qFormat/>
    <w:locked/>
    <w:uiPriority w:val="0"/>
    <w:pPr>
      <w:numPr>
        <w:ilvl w:val="1"/>
        <w:numId w:val="0"/>
      </w:numPr>
      <w:tabs>
        <w:tab w:val="left" w:pos="0"/>
      </w:tabs>
      <w:spacing w:line="360" w:lineRule="auto"/>
      <w:outlineLvl w:val="1"/>
    </w:pPr>
    <w:rPr>
      <w:rFonts w:ascii="Times New Roman" w:hAnsi="Times New Roman" w:eastAsia="宋体"/>
      <w:b/>
      <w:bCs/>
      <w:sz w:val="28"/>
      <w:szCs w:val="28"/>
    </w:rPr>
  </w:style>
  <w:style w:type="paragraph" w:styleId="4">
    <w:name w:val="heading 3"/>
    <w:basedOn w:val="1"/>
    <w:next w:val="5"/>
    <w:link w:val="22"/>
    <w:unhideWhenUsed/>
    <w:qFormat/>
    <w:locked/>
    <w:uiPriority w:val="0"/>
    <w:pPr>
      <w:keepNext/>
      <w:keepLines/>
      <w:numPr>
        <w:ilvl w:val="2"/>
        <w:numId w:val="1"/>
      </w:numPr>
      <w:spacing w:line="360" w:lineRule="auto"/>
      <w:ind w:left="0" w:firstLine="0"/>
      <w:outlineLvl w:val="2"/>
    </w:pPr>
    <w:rPr>
      <w:rFonts w:ascii="Times New Roman" w:hAnsi="Times New Roman" w:eastAsia="宋体"/>
      <w:b/>
      <w:sz w:val="24"/>
    </w:rPr>
  </w:style>
  <w:style w:type="paragraph" w:styleId="6">
    <w:name w:val="heading 4"/>
    <w:basedOn w:val="1"/>
    <w:next w:val="1"/>
    <w:qFormat/>
    <w:locked/>
    <w:uiPriority w:val="9"/>
    <w:pPr>
      <w:keepNext/>
      <w:keepLines/>
      <w:numPr>
        <w:ilvl w:val="3"/>
        <w:numId w:val="1"/>
      </w:numPr>
      <w:spacing w:line="360" w:lineRule="auto"/>
      <w:ind w:left="0" w:firstLine="0"/>
      <w:jc w:val="left"/>
      <w:outlineLvl w:val="3"/>
    </w:pPr>
    <w:rPr>
      <w:rFonts w:ascii="Arial" w:hAnsi="Arial" w:eastAsia="宋体"/>
      <w:b/>
      <w:sz w:val="24"/>
    </w:rPr>
  </w:style>
  <w:style w:type="paragraph" w:styleId="7">
    <w:name w:val="heading 5"/>
    <w:basedOn w:val="1"/>
    <w:next w:val="1"/>
    <w:unhideWhenUsed/>
    <w:qFormat/>
    <w:locked/>
    <w:uiPriority w:val="0"/>
    <w:pPr>
      <w:keepNext/>
      <w:keepLines/>
      <w:numPr>
        <w:ilvl w:val="4"/>
        <w:numId w:val="2"/>
      </w:numPr>
      <w:tabs>
        <w:tab w:val="left" w:pos="0"/>
        <w:tab w:val="clear" w:pos="420"/>
      </w:tabs>
      <w:ind w:firstLine="720" w:firstLineChars="200"/>
      <w:outlineLvl w:val="4"/>
    </w:pPr>
  </w:style>
  <w:style w:type="paragraph" w:styleId="8">
    <w:name w:val="heading 6"/>
    <w:basedOn w:val="1"/>
    <w:next w:val="1"/>
    <w:semiHidden/>
    <w:unhideWhenUsed/>
    <w:qFormat/>
    <w:locked/>
    <w:uiPriority w:val="0"/>
    <w:pPr>
      <w:keepNext/>
      <w:keepLines/>
      <w:numPr>
        <w:ilvl w:val="5"/>
        <w:numId w:val="2"/>
      </w:numPr>
      <w:spacing w:before="240" w:after="64" w:line="317" w:lineRule="auto"/>
      <w:outlineLvl w:val="5"/>
    </w:pPr>
    <w:rPr>
      <w:rFonts w:ascii="Arial" w:hAnsi="Arial" w:eastAsia="黑体"/>
      <w:b/>
      <w:sz w:val="24"/>
    </w:rPr>
  </w:style>
  <w:style w:type="paragraph" w:styleId="9">
    <w:name w:val="heading 7"/>
    <w:basedOn w:val="1"/>
    <w:next w:val="1"/>
    <w:semiHidden/>
    <w:unhideWhenUsed/>
    <w:qFormat/>
    <w:locked/>
    <w:uiPriority w:val="0"/>
    <w:pPr>
      <w:keepNext/>
      <w:keepLines/>
      <w:numPr>
        <w:ilvl w:val="6"/>
        <w:numId w:val="2"/>
      </w:numPr>
      <w:spacing w:before="240" w:after="64" w:line="317" w:lineRule="auto"/>
      <w:outlineLvl w:val="6"/>
    </w:pPr>
    <w:rPr>
      <w:b/>
      <w:sz w:val="24"/>
    </w:rPr>
  </w:style>
  <w:style w:type="character" w:default="1" w:styleId="13">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5">
    <w:name w:val="闽创报告正文"/>
    <w:basedOn w:val="1"/>
    <w:link w:val="18"/>
    <w:qFormat/>
    <w:uiPriority w:val="0"/>
    <w:pPr>
      <w:tabs>
        <w:tab w:val="left" w:pos="0"/>
      </w:tabs>
      <w:spacing w:line="360" w:lineRule="auto"/>
      <w:ind w:firstLine="200" w:firstLineChars="200"/>
    </w:pPr>
    <w:rPr>
      <w:rFonts w:ascii="Times New Roman" w:hAnsi="Times New Roman" w:eastAsia="宋体"/>
      <w:color w:val="000000"/>
      <w:sz w:val="24"/>
    </w:rPr>
  </w:style>
  <w:style w:type="paragraph" w:styleId="10">
    <w:name w:val="annotation text"/>
    <w:basedOn w:val="1"/>
    <w:qFormat/>
    <w:uiPriority w:val="0"/>
    <w:pPr>
      <w:jc w:val="left"/>
    </w:p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标题 1 Char"/>
    <w:basedOn w:val="13"/>
    <w:link w:val="3"/>
    <w:qFormat/>
    <w:uiPriority w:val="0"/>
    <w:rPr>
      <w:b/>
      <w:bCs/>
      <w:kern w:val="44"/>
      <w:sz w:val="44"/>
      <w:szCs w:val="44"/>
    </w:rPr>
  </w:style>
  <w:style w:type="paragraph" w:customStyle="1" w:styleId="15">
    <w:name w:val="表格标题"/>
    <w:basedOn w:val="1"/>
    <w:next w:val="16"/>
    <w:link w:val="19"/>
    <w:qFormat/>
    <w:uiPriority w:val="0"/>
    <w:pPr>
      <w:numPr>
        <w:ilvl w:val="7"/>
        <w:numId w:val="1"/>
      </w:numPr>
      <w:spacing w:line="240" w:lineRule="auto"/>
      <w:ind w:left="0" w:firstLine="0"/>
      <w:jc w:val="center"/>
    </w:pPr>
    <w:rPr>
      <w:rFonts w:ascii="Times New Roman" w:hAnsi="Times New Roman" w:eastAsia="宋体"/>
      <w:b/>
      <w:sz w:val="24"/>
    </w:rPr>
  </w:style>
  <w:style w:type="paragraph" w:customStyle="1" w:styleId="16">
    <w:name w:val="表格内容"/>
    <w:next w:val="1"/>
    <w:link w:val="20"/>
    <w:qFormat/>
    <w:uiPriority w:val="0"/>
    <w:pPr>
      <w:tabs>
        <w:tab w:val="left" w:pos="0"/>
      </w:tabs>
      <w:ind w:left="0" w:firstLine="0" w:firstLineChars="0"/>
      <w:jc w:val="center"/>
    </w:pPr>
    <w:rPr>
      <w:rFonts w:ascii="Times New Roman" w:hAnsi="Times New Roman" w:eastAsia="宋体" w:cs="Times New Roman"/>
      <w:sz w:val="21"/>
    </w:rPr>
  </w:style>
  <w:style w:type="paragraph" w:customStyle="1" w:styleId="17">
    <w:name w:val="图文标题"/>
    <w:basedOn w:val="1"/>
    <w:next w:val="1"/>
    <w:qFormat/>
    <w:uiPriority w:val="0"/>
    <w:pPr>
      <w:numPr>
        <w:ilvl w:val="8"/>
        <w:numId w:val="1"/>
      </w:numPr>
      <w:jc w:val="center"/>
    </w:pPr>
    <w:rPr>
      <w:b/>
      <w:sz w:val="24"/>
    </w:rPr>
  </w:style>
  <w:style w:type="character" w:customStyle="1" w:styleId="18">
    <w:name w:val="报告正文 Char"/>
    <w:link w:val="5"/>
    <w:qFormat/>
    <w:uiPriority w:val="0"/>
    <w:rPr>
      <w:rFonts w:ascii="Times New Roman" w:hAnsi="Times New Roman" w:eastAsia="宋体"/>
      <w:color w:val="000000"/>
      <w:sz w:val="24"/>
      <w:szCs w:val="24"/>
    </w:rPr>
  </w:style>
  <w:style w:type="character" w:customStyle="1" w:styleId="19">
    <w:name w:val="表格标题 Char"/>
    <w:link w:val="15"/>
    <w:qFormat/>
    <w:uiPriority w:val="0"/>
    <w:rPr>
      <w:rFonts w:ascii="Times New Roman" w:hAnsi="Times New Roman" w:eastAsia="宋体"/>
      <w:b/>
      <w:sz w:val="24"/>
    </w:rPr>
  </w:style>
  <w:style w:type="character" w:customStyle="1" w:styleId="20">
    <w:name w:val="表格内容 Char"/>
    <w:link w:val="16"/>
    <w:qFormat/>
    <w:uiPriority w:val="0"/>
    <w:rPr>
      <w:rFonts w:ascii="Times New Roman" w:hAnsi="Times New Roman" w:eastAsia="宋体"/>
      <w:sz w:val="21"/>
    </w:rPr>
  </w:style>
  <w:style w:type="table" w:customStyle="1" w:styleId="21">
    <w:name w:val="Table Normal"/>
    <w:semiHidden/>
    <w:unhideWhenUsed/>
    <w:qFormat/>
    <w:uiPriority w:val="0"/>
    <w:tblPr>
      <w:tblCellMar>
        <w:top w:w="0" w:type="dxa"/>
        <w:left w:w="0" w:type="dxa"/>
        <w:bottom w:w="0" w:type="dxa"/>
        <w:right w:w="0" w:type="dxa"/>
      </w:tblCellMar>
    </w:tblPr>
  </w:style>
  <w:style w:type="character" w:customStyle="1" w:styleId="22">
    <w:name w:val="标题 3 Char1"/>
    <w:basedOn w:val="13"/>
    <w:link w:val="4"/>
    <w:qFormat/>
    <w:uiPriority w:val="0"/>
    <w:rPr>
      <w:rFonts w:ascii="Times New Roman" w:hAnsi="Times New Roman" w:eastAsia="宋体"/>
      <w:b/>
      <w:bCs/>
      <w:kern w:val="2"/>
      <w:sz w:val="24"/>
      <w:szCs w:val="32"/>
    </w:rPr>
  </w:style>
  <w:style w:type="character" w:customStyle="1" w:styleId="23">
    <w:name w:val="标题 2 Char1"/>
    <w:basedOn w:val="13"/>
    <w:link w:val="2"/>
    <w:qFormat/>
    <w:uiPriority w:val="0"/>
    <w:rPr>
      <w:rFonts w:ascii="Times New Roman" w:hAnsi="Times New Roman" w:eastAsia="宋体" w:cs="Times New Roman"/>
      <w:b/>
      <w:bCs/>
      <w:kern w:val="2"/>
      <w:sz w:val="32"/>
      <w:szCs w:val="32"/>
    </w:rPr>
  </w:style>
  <w:style w:type="character" w:customStyle="1" w:styleId="24">
    <w:name w:val="font21"/>
    <w:basedOn w:val="13"/>
    <w:qFormat/>
    <w:uiPriority w:val="0"/>
    <w:rPr>
      <w:rFonts w:hint="eastAsia" w:ascii="宋体" w:hAnsi="宋体" w:eastAsia="宋体" w:cs="宋体"/>
      <w:color w:val="000000"/>
      <w:sz w:val="24"/>
      <w:szCs w:val="24"/>
      <w:u w:val="none"/>
    </w:rPr>
  </w:style>
  <w:style w:type="character" w:customStyle="1" w:styleId="25">
    <w:name w:val="font01"/>
    <w:basedOn w:val="13"/>
    <w:qFormat/>
    <w:uiPriority w:val="0"/>
    <w:rPr>
      <w:rFonts w:ascii="Calibri" w:hAnsi="Calibri" w:cs="Calibri"/>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microsoft.com/office/2006/relationships/keyMapCustomizations" Target="customizations.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wmf"/><Relationship Id="rId25" Type="http://schemas.openxmlformats.org/officeDocument/2006/relationships/oleObject" Target="embeddings/oleObject1.bin"/><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6B6AED-6CC6-4065-A824-6AB38C9DFA6F}">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72</Pages>
  <Words>45370</Words>
  <Characters>53653</Characters>
  <Lines>704</Lines>
  <Paragraphs>198</Paragraphs>
  <TotalTime>3</TotalTime>
  <ScaleCrop>false</ScaleCrop>
  <LinksUpToDate>false</LinksUpToDate>
  <CharactersWithSpaces>54130</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Dell</dc:creator>
  <cp:lastModifiedBy>٩棕榈</cp:lastModifiedBy>
  <cp:lastPrinted>2022-03-07T09:15:00Z</cp:lastPrinted>
  <dcterms:modified xsi:type="dcterms:W3CDTF">2022-09-27T03:02:30Z</dcterms:modified>
  <dc:title>附件2</dc:title>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EFDC418584E24D82A658B0122A714677</vt:lpwstr>
  </property>
</Properties>
</file>